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468" w:beforeLines="150" w:line="600" w:lineRule="exact"/>
        <w:jc w:val="right"/>
        <w:rPr>
          <w:color w:val="000000"/>
          <w:sz w:val="72"/>
          <w:szCs w:val="72"/>
        </w:rPr>
      </w:pPr>
      <w:r>
        <w:rPr>
          <w:color w:val="000000"/>
          <w:sz w:val="72"/>
          <w:szCs w:val="72"/>
        </w:rPr>
        <w:t xml:space="preserve">  </w:t>
      </w:r>
      <w:r>
        <w:rPr>
          <w:color w:val="000000"/>
          <w:sz w:val="72"/>
          <w:szCs w:val="20"/>
        </w:rPr>
        <w:t>DB</w:t>
      </w:r>
    </w:p>
    <w:p>
      <w:pPr>
        <w:tabs>
          <w:tab w:val="center" w:pos="2948"/>
        </w:tabs>
        <w:spacing w:before="100" w:beforeAutospacing="1" w:after="100" w:afterAutospacing="1" w:line="300" w:lineRule="auto"/>
        <w:jc w:val="center"/>
        <w:rPr>
          <w:rFonts w:eastAsia="黑体"/>
          <w:color w:val="000000"/>
          <w:sz w:val="32"/>
          <w:szCs w:val="20"/>
        </w:rPr>
      </w:pPr>
      <w:r>
        <w:rPr>
          <w:rFonts w:eastAsia="黑体"/>
          <w:color w:val="000000"/>
          <w:sz w:val="32"/>
          <w:szCs w:val="20"/>
        </w:rPr>
        <w:t>河北省工程建设标准</w:t>
      </w:r>
    </w:p>
    <w:p>
      <w:pPr>
        <w:wordWrap w:val="0"/>
        <w:spacing w:before="156" w:beforeLines="50" w:line="400" w:lineRule="exact"/>
        <w:jc w:val="right"/>
        <w:rPr>
          <w:rFonts w:eastAsia="黑体"/>
          <w:color w:val="000000"/>
          <w:sz w:val="24"/>
        </w:rPr>
      </w:pPr>
      <w:r>
        <w:rPr>
          <w:b/>
          <w:color w:val="000000"/>
          <w:sz w:val="30"/>
          <w:szCs w:val="30"/>
        </w:rPr>
        <w:t xml:space="preserve">                </w:t>
      </w:r>
      <w:r>
        <w:rPr>
          <w:rFonts w:eastAsia="黑体"/>
          <w:b/>
          <w:color w:val="000000"/>
          <w:sz w:val="28"/>
          <w:szCs w:val="28"/>
        </w:rPr>
        <w:t xml:space="preserve">  </w:t>
      </w:r>
      <w:r>
        <w:rPr>
          <w:rFonts w:eastAsia="黑体"/>
          <w:color w:val="000000"/>
          <w:sz w:val="28"/>
          <w:szCs w:val="28"/>
        </w:rPr>
        <w:t xml:space="preserve"> DB</w:t>
      </w:r>
      <w:r>
        <w:rPr>
          <w:rFonts w:eastAsia="黑体"/>
          <w:color w:val="000000"/>
          <w:sz w:val="28"/>
          <w:szCs w:val="28"/>
          <w:vertAlign w:val="subscript"/>
        </w:rPr>
        <w:t xml:space="preserve"> </w:t>
      </w:r>
      <w:r>
        <w:rPr>
          <w:rFonts w:eastAsia="黑体"/>
          <w:color w:val="000000"/>
          <w:sz w:val="28"/>
          <w:szCs w:val="28"/>
        </w:rPr>
        <w:t>-2020</w:t>
      </w:r>
    </w:p>
    <w:p>
      <w:pPr>
        <w:spacing w:line="400" w:lineRule="exact"/>
        <w:jc w:val="right"/>
        <w:rPr>
          <w:rFonts w:eastAsia="黑体"/>
          <w:color w:val="000000"/>
          <w:sz w:val="28"/>
          <w:szCs w:val="28"/>
        </w:rPr>
      </w:pPr>
      <w:r>
        <w:rPr>
          <w:rFonts w:ascii="Times New Roman" w:hAnsi="Times New Roman" w:eastAsia="宋体" w:cs="Times New Roman"/>
          <w:color w:val="000000"/>
          <w:kern w:val="2"/>
          <w:sz w:val="21"/>
          <w:szCs w:val="24"/>
          <w:lang w:val="en-US" w:eastAsia="zh-CN" w:bidi="ar-SA"/>
        </w:rPr>
        <w:pict>
          <v:line id="直线 15" o:spid="_x0000_s1026" style="position:absolute;left:0;margin-left:-9pt;margin-top:3.4pt;height:0.05pt;width:318.8pt;mso-wrap-distance-bottom:0pt;mso-wrap-distance-left:9pt;mso-wrap-distance-right:9pt;mso-wrap-distance-top:0pt;rotation:0f;z-index:251659264;" o:ole="f" fillcolor="#FFFFFF" filled="f" o:preferrelative="t" stroked="t" coordsize="21600,21600">
            <v:fill on="f" color2="#FFFFFF" focus="0%"/>
            <v:stroke weight="1.25pt" color="#000000" color2="#FFFFFF" joinstyle="round"/>
            <v:imagedata gain="65536f" blacklevel="0f" gamma="0"/>
            <o:lock v:ext="edit" position="f" selection="f" grouping="f" rotation="f" cropping="f" text="f" aspectratio="f"/>
            <w10:wrap type="square"/>
          </v:line>
        </w:pict>
      </w:r>
      <w:r>
        <w:rPr>
          <w:color w:val="000000"/>
        </w:rPr>
        <w:t xml:space="preserve">                </w:t>
      </w:r>
      <w:r>
        <w:rPr>
          <w:rFonts w:eastAsia="黑体"/>
          <w:color w:val="000000"/>
          <w:sz w:val="24"/>
        </w:rPr>
        <w:t>住房和城乡建设部备案号：xxx-2020</w:t>
      </w:r>
    </w:p>
    <w:p>
      <w:pPr>
        <w:spacing w:before="624" w:beforeLines="200" w:line="540" w:lineRule="exact"/>
        <w:jc w:val="center"/>
        <w:rPr>
          <w:rFonts w:eastAsia="方正小标宋简体"/>
          <w:color w:val="000000"/>
          <w:sz w:val="44"/>
          <w:szCs w:val="44"/>
        </w:rPr>
      </w:pPr>
      <w:bookmarkStart w:id="0" w:name="OLE_LINK2"/>
      <w:bookmarkStart w:id="114" w:name="_GoBack"/>
      <w:r>
        <w:rPr>
          <w:rFonts w:eastAsia="方正小标宋简体"/>
          <w:color w:val="000000"/>
          <w:sz w:val="44"/>
          <w:szCs w:val="44"/>
        </w:rPr>
        <w:t>绿色建筑</w:t>
      </w:r>
      <w:r>
        <w:rPr>
          <w:rFonts w:hint="eastAsia" w:eastAsia="方正小标宋简体"/>
          <w:color w:val="000000"/>
          <w:sz w:val="44"/>
          <w:szCs w:val="44"/>
        </w:rPr>
        <w:t>室内</w:t>
      </w:r>
      <w:r>
        <w:rPr>
          <w:rFonts w:eastAsia="方正小标宋简体"/>
          <w:color w:val="000000"/>
          <w:sz w:val="44"/>
          <w:szCs w:val="44"/>
        </w:rPr>
        <w:t>全装修评价标准</w:t>
      </w:r>
      <w:bookmarkEnd w:id="114"/>
    </w:p>
    <w:bookmarkEnd w:id="0"/>
    <w:p>
      <w:pPr>
        <w:spacing w:line="360" w:lineRule="exact"/>
        <w:jc w:val="center"/>
        <w:rPr>
          <w:b/>
          <w:color w:val="000000"/>
          <w:sz w:val="24"/>
        </w:rPr>
      </w:pPr>
      <w:bookmarkStart w:id="1" w:name="OLE_LINK1"/>
      <w:r>
        <w:rPr>
          <w:b/>
          <w:color w:val="000000"/>
          <w:sz w:val="24"/>
        </w:rPr>
        <w:t>Assessment standard for green interior decoration</w:t>
      </w:r>
    </w:p>
    <w:bookmarkEnd w:id="1"/>
    <w:p>
      <w:pPr>
        <w:spacing w:line="380" w:lineRule="exact"/>
        <w:jc w:val="center"/>
        <w:rPr>
          <w:rFonts w:eastAsia="黑体"/>
          <w:color w:val="000000"/>
          <w:sz w:val="24"/>
        </w:rPr>
      </w:pPr>
      <w:r>
        <w:rPr>
          <w:rFonts w:hint="eastAsia" w:eastAsia="黑体"/>
          <w:color w:val="000000"/>
          <w:sz w:val="24"/>
        </w:rPr>
        <w:t>（送审</w:t>
      </w:r>
      <w:r>
        <w:rPr>
          <w:rFonts w:eastAsia="黑体"/>
          <w:color w:val="000000"/>
          <w:sz w:val="24"/>
        </w:rPr>
        <w:t>稿）</w:t>
      </w:r>
    </w:p>
    <w:p>
      <w:pPr>
        <w:spacing w:line="380" w:lineRule="exact"/>
        <w:jc w:val="center"/>
        <w:rPr>
          <w:rFonts w:eastAsia="黑体"/>
          <w:color w:val="000000"/>
          <w:szCs w:val="21"/>
        </w:rPr>
      </w:pPr>
    </w:p>
    <w:p>
      <w:pPr>
        <w:spacing w:line="380" w:lineRule="exact"/>
        <w:jc w:val="center"/>
        <w:rPr>
          <w:rFonts w:eastAsia="黑体"/>
          <w:color w:val="000000"/>
          <w:szCs w:val="21"/>
        </w:rPr>
      </w:pPr>
    </w:p>
    <w:p>
      <w:pPr>
        <w:spacing w:line="380" w:lineRule="exact"/>
        <w:jc w:val="center"/>
        <w:rPr>
          <w:rFonts w:eastAsia="黑体"/>
          <w:color w:val="000000"/>
          <w:szCs w:val="21"/>
        </w:rPr>
      </w:pPr>
    </w:p>
    <w:p>
      <w:pPr>
        <w:spacing w:line="380" w:lineRule="exact"/>
        <w:jc w:val="center"/>
        <w:rPr>
          <w:rFonts w:eastAsia="黑体"/>
          <w:color w:val="000000"/>
          <w:szCs w:val="21"/>
        </w:rPr>
      </w:pPr>
    </w:p>
    <w:p>
      <w:pPr>
        <w:spacing w:line="380" w:lineRule="exact"/>
        <w:jc w:val="center"/>
        <w:rPr>
          <w:rFonts w:eastAsia="黑体"/>
          <w:color w:val="000000"/>
          <w:szCs w:val="21"/>
        </w:rPr>
      </w:pPr>
    </w:p>
    <w:p>
      <w:pPr>
        <w:spacing w:line="380" w:lineRule="exact"/>
        <w:rPr>
          <w:rFonts w:eastAsia="黑体"/>
          <w:color w:val="000000"/>
          <w:szCs w:val="21"/>
        </w:rPr>
      </w:pPr>
    </w:p>
    <w:p>
      <w:pPr>
        <w:spacing w:line="380" w:lineRule="exact"/>
        <w:jc w:val="center"/>
        <w:rPr>
          <w:rFonts w:eastAsia="黑体"/>
          <w:color w:val="000000"/>
          <w:szCs w:val="21"/>
        </w:rPr>
      </w:pPr>
    </w:p>
    <w:p>
      <w:pPr>
        <w:spacing w:line="400" w:lineRule="exact"/>
        <w:rPr>
          <w:rFonts w:eastAsia="黑体"/>
          <w:color w:val="000000"/>
          <w:sz w:val="28"/>
        </w:rPr>
      </w:pPr>
      <w:r>
        <w:rPr>
          <w:rFonts w:eastAsia="黑体"/>
          <w:color w:val="000000"/>
          <w:sz w:val="28"/>
        </w:rPr>
        <w:t>2020-x-x发布             2020-x-x实施</w:t>
      </w:r>
    </w:p>
    <w:p>
      <w:pPr>
        <w:spacing w:before="156" w:beforeLines="50" w:line="500" w:lineRule="exact"/>
        <w:jc w:val="center"/>
        <w:rPr>
          <w:rFonts w:eastAsia="黑体"/>
          <w:color w:val="000000"/>
          <w:sz w:val="32"/>
          <w:szCs w:val="32"/>
        </w:rPr>
      </w:pPr>
      <w:r>
        <w:rPr>
          <w:rFonts w:ascii="Times New Roman" w:hAnsi="Times New Roman" w:eastAsia="黑体" w:cs="Times New Roman"/>
          <w:color w:val="000000"/>
          <w:kern w:val="2"/>
          <w:sz w:val="32"/>
          <w:szCs w:val="32"/>
          <w:lang w:val="en-US" w:eastAsia="zh-CN" w:bidi="ar-SA"/>
        </w:rPr>
        <w:pict>
          <v:line id="Line 3" o:spid="_x0000_s1027" style="position:absolute;left:0;margin-top:3.6pt;height:0.05pt;width:318.8pt;mso-position-horizontal:center;mso-wrap-distance-bottom:0pt;mso-wrap-distance-left:9pt;mso-wrap-distance-right:9pt;mso-wrap-distance-top:0pt;rotation:0f;z-index:251658240;" o:ole="f" fillcolor="#FFFFFF" filled="f" o:preferrelative="t" stroked="t" coordsize="21600,21600">
            <v:fill on="f" color2="#FFFFFF" focus="0%"/>
            <v:stroke weight="1.25pt" color="#000000" color2="#FFFFFF" joinstyle="round"/>
            <v:imagedata gain="65536f" blacklevel="0f" gamma="0"/>
            <o:lock v:ext="edit" position="f" selection="f" grouping="f" rotation="f" cropping="f" text="f" aspectratio="f"/>
            <w10:wrap type="square"/>
          </v:line>
        </w:pict>
      </w:r>
      <w:r>
        <w:rPr>
          <w:rFonts w:eastAsia="黑体"/>
          <w:color w:val="000000"/>
          <w:sz w:val="32"/>
          <w:szCs w:val="32"/>
        </w:rPr>
        <w:t>河北省住房和城乡建设厅 发布</w:t>
      </w:r>
    </w:p>
    <w:p>
      <w:pPr>
        <w:spacing w:line="400" w:lineRule="exact"/>
        <w:jc w:val="center"/>
        <w:rPr>
          <w:rFonts w:eastAsia="黑体"/>
          <w:b/>
          <w:color w:val="000000"/>
          <w:sz w:val="30"/>
          <w:szCs w:val="30"/>
        </w:rPr>
      </w:pPr>
    </w:p>
    <w:p>
      <w:pPr>
        <w:spacing w:before="100" w:beforeAutospacing="1" w:after="100" w:afterAutospacing="1" w:line="360" w:lineRule="exact"/>
        <w:jc w:val="center"/>
        <w:rPr>
          <w:rFonts w:eastAsia="黑体"/>
          <w:color w:val="000000"/>
          <w:sz w:val="32"/>
        </w:rPr>
      </w:pPr>
      <w:r>
        <w:rPr>
          <w:rFonts w:eastAsia="黑体"/>
          <w:color w:val="000000"/>
          <w:sz w:val="32"/>
        </w:rPr>
        <w:t>河北省工程建设标准</w:t>
      </w:r>
    </w:p>
    <w:p>
      <w:pPr>
        <w:spacing w:before="312" w:beforeLines="100" w:line="520" w:lineRule="exact"/>
        <w:jc w:val="center"/>
        <w:rPr>
          <w:rFonts w:eastAsia="方正小标宋简体"/>
          <w:color w:val="000000"/>
          <w:sz w:val="44"/>
          <w:szCs w:val="44"/>
        </w:rPr>
      </w:pPr>
      <w:r>
        <w:rPr>
          <w:rFonts w:eastAsia="方正小标宋简体"/>
          <w:color w:val="000000"/>
          <w:sz w:val="44"/>
          <w:szCs w:val="44"/>
        </w:rPr>
        <w:t>绿色建筑</w:t>
      </w:r>
      <w:r>
        <w:rPr>
          <w:rFonts w:hint="eastAsia" w:eastAsia="方正小标宋简体"/>
          <w:color w:val="000000"/>
          <w:sz w:val="44"/>
          <w:szCs w:val="44"/>
        </w:rPr>
        <w:t>室内全装修</w:t>
      </w:r>
      <w:r>
        <w:rPr>
          <w:rFonts w:eastAsia="方正小标宋简体"/>
          <w:color w:val="000000"/>
          <w:sz w:val="44"/>
          <w:szCs w:val="44"/>
        </w:rPr>
        <w:t>评价标准</w:t>
      </w:r>
    </w:p>
    <w:p>
      <w:pPr>
        <w:spacing w:line="240" w:lineRule="exact"/>
        <w:jc w:val="center"/>
        <w:rPr>
          <w:rFonts w:eastAsia="黑体"/>
          <w:b/>
          <w:color w:val="000000"/>
          <w:sz w:val="24"/>
        </w:rPr>
      </w:pPr>
      <w:r>
        <w:rPr>
          <w:b/>
          <w:color w:val="000000"/>
          <w:sz w:val="24"/>
        </w:rPr>
        <w:t>Assessment standard for green interior decoration</w:t>
      </w:r>
    </w:p>
    <w:p>
      <w:pPr>
        <w:spacing w:line="240" w:lineRule="exact"/>
        <w:jc w:val="center"/>
        <w:rPr>
          <w:b/>
          <w:color w:val="000000"/>
          <w:sz w:val="24"/>
        </w:rPr>
      </w:pPr>
    </w:p>
    <w:p>
      <w:pPr>
        <w:spacing w:line="240" w:lineRule="exact"/>
        <w:jc w:val="center"/>
        <w:rPr>
          <w:rFonts w:eastAsia="黑体"/>
          <w:b/>
          <w:color w:val="000000"/>
          <w:sz w:val="24"/>
        </w:rPr>
      </w:pPr>
    </w:p>
    <w:p>
      <w:pPr>
        <w:spacing w:before="156" w:beforeLines="50" w:line="400" w:lineRule="exact"/>
        <w:jc w:val="center"/>
        <w:rPr>
          <w:rFonts w:eastAsia="黑体"/>
          <w:color w:val="000000"/>
          <w:sz w:val="28"/>
          <w:szCs w:val="28"/>
        </w:rPr>
      </w:pPr>
      <w:r>
        <w:rPr>
          <w:rFonts w:eastAsia="黑体"/>
          <w:color w:val="000000"/>
          <w:sz w:val="28"/>
          <w:szCs w:val="28"/>
        </w:rPr>
        <w:t>DB -2020</w:t>
      </w:r>
    </w:p>
    <w:p>
      <w:pPr>
        <w:spacing w:line="380" w:lineRule="exact"/>
        <w:ind w:firstLine="2250" w:firstLineChars="750"/>
        <w:rPr>
          <w:rFonts w:eastAsia="黑体"/>
          <w:color w:val="000000"/>
          <w:sz w:val="30"/>
          <w:szCs w:val="30"/>
        </w:rPr>
      </w:pPr>
    </w:p>
    <w:p>
      <w:pPr>
        <w:spacing w:line="380" w:lineRule="exact"/>
        <w:ind w:firstLine="2250" w:firstLineChars="750"/>
        <w:rPr>
          <w:rFonts w:eastAsia="黑体"/>
          <w:color w:val="000000"/>
          <w:sz w:val="30"/>
          <w:szCs w:val="30"/>
        </w:rPr>
      </w:pPr>
    </w:p>
    <w:p>
      <w:pPr>
        <w:spacing w:line="300" w:lineRule="auto"/>
        <w:ind w:firstLine="1260" w:firstLineChars="600"/>
        <w:rPr>
          <w:color w:val="000000"/>
        </w:rPr>
      </w:pPr>
      <w:r>
        <w:rPr>
          <w:color w:val="000000"/>
        </w:rPr>
        <w:t>主编部门：河北省工程建设标准化管理办公室</w:t>
      </w:r>
    </w:p>
    <w:p>
      <w:pPr>
        <w:spacing w:line="300" w:lineRule="auto"/>
        <w:ind w:firstLine="1260" w:firstLineChars="600"/>
        <w:rPr>
          <w:color w:val="000000"/>
        </w:rPr>
      </w:pPr>
      <w:r>
        <w:rPr>
          <w:color w:val="000000"/>
        </w:rPr>
        <w:t>主编单位：</w:t>
      </w:r>
      <w:r>
        <w:rPr>
          <w:rFonts w:hint="eastAsia"/>
          <w:color w:val="000000"/>
        </w:rPr>
        <w:t>河北省建筑科学研究院有限公司</w:t>
      </w:r>
    </w:p>
    <w:p>
      <w:pPr>
        <w:spacing w:line="300" w:lineRule="auto"/>
        <w:ind w:firstLine="2310" w:firstLineChars="1100"/>
        <w:rPr>
          <w:color w:val="000000"/>
        </w:rPr>
      </w:pPr>
      <w:r>
        <w:rPr>
          <w:rFonts w:hint="eastAsia"/>
          <w:color w:val="000000"/>
        </w:rPr>
        <w:t>河北省建筑装饰业协会</w:t>
      </w:r>
    </w:p>
    <w:p>
      <w:pPr>
        <w:spacing w:line="300" w:lineRule="auto"/>
        <w:ind w:firstLine="2310" w:firstLineChars="1100"/>
        <w:rPr>
          <w:color w:val="000000"/>
        </w:rPr>
      </w:pPr>
      <w:r>
        <w:rPr>
          <w:rFonts w:hint="eastAsia"/>
          <w:color w:val="000000"/>
        </w:rPr>
        <w:t>河北省室内装饰集团有限公司</w:t>
      </w:r>
    </w:p>
    <w:p>
      <w:pPr>
        <w:spacing w:line="300" w:lineRule="auto"/>
        <w:ind w:firstLine="1260" w:firstLineChars="600"/>
        <w:rPr>
          <w:color w:val="000000"/>
        </w:rPr>
      </w:pPr>
      <w:r>
        <w:rPr>
          <w:color w:val="000000"/>
        </w:rPr>
        <w:t>批准部门：河北省住房和城乡建设厅</w:t>
      </w:r>
    </w:p>
    <w:p>
      <w:pPr>
        <w:spacing w:line="300" w:lineRule="auto"/>
        <w:ind w:firstLine="1260" w:firstLineChars="600"/>
        <w:rPr>
          <w:color w:val="000000"/>
        </w:rPr>
      </w:pPr>
      <w:r>
        <w:rPr>
          <w:color w:val="000000"/>
        </w:rPr>
        <w:t>施行日期：2020年x月x日</w:t>
      </w:r>
    </w:p>
    <w:p>
      <w:pPr>
        <w:spacing w:line="380" w:lineRule="exact"/>
        <w:rPr>
          <w:b/>
          <w:color w:val="000000"/>
          <w:sz w:val="30"/>
          <w:szCs w:val="30"/>
        </w:rPr>
      </w:pPr>
    </w:p>
    <w:p>
      <w:pPr>
        <w:spacing w:line="380" w:lineRule="exact"/>
        <w:rPr>
          <w:rFonts w:eastAsia="黑体"/>
          <w:b/>
          <w:color w:val="000000"/>
          <w:sz w:val="30"/>
          <w:szCs w:val="30"/>
        </w:rPr>
      </w:pPr>
    </w:p>
    <w:p>
      <w:pPr>
        <w:spacing w:line="380" w:lineRule="exact"/>
        <w:rPr>
          <w:rFonts w:eastAsia="黑体"/>
          <w:b/>
          <w:color w:val="000000"/>
          <w:sz w:val="30"/>
          <w:szCs w:val="30"/>
        </w:rPr>
      </w:pPr>
    </w:p>
    <w:p>
      <w:pPr>
        <w:spacing w:line="380" w:lineRule="exact"/>
        <w:rPr>
          <w:rFonts w:eastAsia="黑体"/>
          <w:b/>
          <w:color w:val="000000"/>
          <w:sz w:val="30"/>
          <w:szCs w:val="30"/>
        </w:rPr>
      </w:pPr>
    </w:p>
    <w:p>
      <w:pPr>
        <w:spacing w:line="380" w:lineRule="exact"/>
        <w:rPr>
          <w:rFonts w:eastAsia="黑体"/>
          <w:b/>
          <w:color w:val="000000"/>
          <w:sz w:val="30"/>
          <w:szCs w:val="30"/>
        </w:rPr>
      </w:pPr>
    </w:p>
    <w:p>
      <w:pPr>
        <w:spacing w:line="380" w:lineRule="exact"/>
        <w:jc w:val="center"/>
        <w:rPr>
          <w:color w:val="000000"/>
        </w:rPr>
      </w:pPr>
      <w:r>
        <w:rPr>
          <w:rFonts w:ascii="Times New Roman" w:hAnsi="Times New Roman" w:eastAsia="宋体" w:cs="Times New Roman"/>
          <w:color w:val="000000"/>
          <w:kern w:val="2"/>
          <w:sz w:val="21"/>
          <w:szCs w:val="24"/>
          <w:lang w:val="en-US" w:eastAsia="zh-CN" w:bidi="ar-SA"/>
        </w:rPr>
        <w:object>
          <v:shape id="Picture 1" type="#_x0000_t75" style="height:14.4pt;width:107.15pt;rotation:0f;" o:ole="t" fillcolor="#FFFFFF" filled="f" o:preferrelative="t" stroked="f" coordorigin="0,0" coordsize="21600,21600">
            <v:fill on="f" color2="#FFFFFF" focus="0%"/>
            <v:imagedata gain="65536f" blacklevel="0f" gamma="0" bilevel="t" o:title="" r:id="rId8"/>
            <o:lock v:ext="edit" position="f" selection="f" grouping="f" rotation="f" cropping="f" text="f" aspectratio="t"/>
            <w10:wrap type="none"/>
            <w10:anchorlock/>
          </v:shape>
          <o:OLEObject Type="Embed" ProgID="" ShapeID="Picture 1" DrawAspect="Content" ObjectID="_3" r:id="rId7"/>
        </w:object>
      </w:r>
    </w:p>
    <w:p>
      <w:pPr>
        <w:spacing w:line="380" w:lineRule="exact"/>
        <w:jc w:val="center"/>
        <w:rPr>
          <w:rFonts w:eastAsia="黑体"/>
          <w:color w:val="000000"/>
        </w:rPr>
      </w:pPr>
      <w:r>
        <w:rPr>
          <w:rFonts w:eastAsia="黑体"/>
          <w:color w:val="000000"/>
        </w:rPr>
        <w:t>2020  北京</w:t>
      </w:r>
    </w:p>
    <w:p>
      <w:pPr>
        <w:pageBreakBefore/>
        <w:spacing w:before="100" w:beforeAutospacing="1" w:after="100" w:afterAutospacing="1" w:line="380" w:lineRule="exact"/>
        <w:ind w:right="629"/>
        <w:jc w:val="center"/>
        <w:rPr>
          <w:rFonts w:eastAsia="方正小标宋简体"/>
          <w:color w:val="000000"/>
          <w:sz w:val="28"/>
          <w:szCs w:val="20"/>
        </w:rPr>
      </w:pPr>
      <w:r>
        <w:rPr>
          <w:rFonts w:eastAsia="方正小标宋简体"/>
          <w:color w:val="000000"/>
          <w:sz w:val="28"/>
          <w:szCs w:val="20"/>
        </w:rPr>
        <w:t>前    言</w:t>
      </w:r>
    </w:p>
    <w:p>
      <w:pPr>
        <w:spacing w:line="380" w:lineRule="atLeast"/>
        <w:ind w:firstLine="420" w:firstLineChars="200"/>
        <w:rPr>
          <w:color w:val="000000"/>
          <w:szCs w:val="20"/>
        </w:rPr>
      </w:pPr>
      <w:r>
        <w:rPr>
          <w:color w:val="000000"/>
          <w:szCs w:val="20"/>
        </w:rPr>
        <w:t>本</w:t>
      </w:r>
      <w:r>
        <w:rPr>
          <w:rFonts w:hint="eastAsia"/>
          <w:color w:val="000000"/>
          <w:szCs w:val="20"/>
        </w:rPr>
        <w:t>标准是根据河北省住房和城乡建设厅《201</w:t>
      </w:r>
      <w:r>
        <w:rPr>
          <w:color w:val="000000"/>
          <w:szCs w:val="20"/>
        </w:rPr>
        <w:t>8</w:t>
      </w:r>
      <w:r>
        <w:rPr>
          <w:rFonts w:hint="eastAsia"/>
          <w:color w:val="000000"/>
          <w:szCs w:val="20"/>
        </w:rPr>
        <w:t>年度省工程建设标准和标准设计第一批编制计划》（冀建质[2019]x号）要求，由河北省建筑科学研究院会同有关单位编制而成。</w:t>
      </w:r>
    </w:p>
    <w:p>
      <w:pPr>
        <w:spacing w:line="380" w:lineRule="atLeast"/>
        <w:ind w:firstLine="420" w:firstLineChars="200"/>
        <w:rPr>
          <w:color w:val="000000"/>
          <w:szCs w:val="20"/>
        </w:rPr>
      </w:pPr>
      <w:r>
        <w:rPr>
          <w:rFonts w:hint="eastAsia"/>
          <w:color w:val="000000"/>
          <w:szCs w:val="20"/>
        </w:rPr>
        <w:t>本规范共分</w:t>
      </w:r>
      <w:r>
        <w:rPr>
          <w:color w:val="000000"/>
          <w:szCs w:val="20"/>
        </w:rPr>
        <w:t>7</w:t>
      </w:r>
      <w:r>
        <w:rPr>
          <w:rFonts w:hint="eastAsia"/>
          <w:color w:val="000000"/>
          <w:szCs w:val="20"/>
        </w:rPr>
        <w:t>章，主要技术内容包括：1. 总则；2. 术语；3. 基本规定；4.设计；5. 材料及</w:t>
      </w:r>
      <w:r>
        <w:rPr>
          <w:color w:val="000000"/>
          <w:szCs w:val="20"/>
        </w:rPr>
        <w:t>部品</w:t>
      </w:r>
      <w:r>
        <w:rPr>
          <w:rFonts w:hint="eastAsia"/>
          <w:color w:val="000000"/>
          <w:szCs w:val="20"/>
        </w:rPr>
        <w:t>；6.施工及</w:t>
      </w:r>
      <w:r>
        <w:rPr>
          <w:color w:val="000000"/>
          <w:szCs w:val="20"/>
        </w:rPr>
        <w:t>验收</w:t>
      </w:r>
      <w:r>
        <w:rPr>
          <w:rFonts w:hint="eastAsia"/>
          <w:color w:val="000000"/>
          <w:szCs w:val="20"/>
        </w:rPr>
        <w:t xml:space="preserve">； </w:t>
      </w:r>
      <w:r>
        <w:rPr>
          <w:color w:val="000000"/>
          <w:szCs w:val="20"/>
        </w:rPr>
        <w:t>7</w:t>
      </w:r>
      <w:r>
        <w:rPr>
          <w:rFonts w:hint="eastAsia"/>
          <w:color w:val="000000"/>
          <w:szCs w:val="20"/>
        </w:rPr>
        <w:t>. 提高与</w:t>
      </w:r>
      <w:r>
        <w:rPr>
          <w:color w:val="000000"/>
          <w:szCs w:val="20"/>
        </w:rPr>
        <w:t>创新</w:t>
      </w:r>
      <w:r>
        <w:rPr>
          <w:rFonts w:hint="eastAsia"/>
          <w:color w:val="000000"/>
          <w:szCs w:val="20"/>
        </w:rPr>
        <w:t>。</w:t>
      </w:r>
    </w:p>
    <w:p>
      <w:pPr>
        <w:spacing w:line="380" w:lineRule="atLeast"/>
        <w:ind w:firstLine="420" w:firstLineChars="200"/>
        <w:rPr>
          <w:color w:val="000000"/>
          <w:szCs w:val="20"/>
        </w:rPr>
      </w:pPr>
      <w:r>
        <w:rPr>
          <w:rFonts w:hint="eastAsia"/>
          <w:color w:val="000000"/>
          <w:szCs w:val="20"/>
        </w:rPr>
        <w:t>本标准如有需要修改或补充之处，请将意见或有关资料寄送至河北省建筑科学研究院有限公司（地址：石家庄市鹿泉区上庄镇槐安西路395号，河北省建筑科技研发中心，邮编：050021，电子邮箱：48316109@qq.com），以便修订时参考。</w:t>
      </w:r>
    </w:p>
    <w:p>
      <w:pPr>
        <w:spacing w:line="380" w:lineRule="atLeast"/>
        <w:ind w:firstLine="420" w:firstLineChars="200"/>
        <w:rPr>
          <w:color w:val="000000"/>
          <w:szCs w:val="20"/>
        </w:rPr>
      </w:pPr>
      <w:r>
        <w:rPr>
          <w:rFonts w:hint="eastAsia"/>
          <w:color w:val="000000"/>
          <w:szCs w:val="20"/>
        </w:rPr>
        <w:t>本标准主编单位、参编单位和主要起草人名单：</w:t>
      </w:r>
    </w:p>
    <w:p>
      <w:pPr>
        <w:spacing w:line="380" w:lineRule="atLeast"/>
        <w:ind w:firstLine="420" w:firstLineChars="200"/>
        <w:rPr>
          <w:color w:val="000000"/>
          <w:szCs w:val="20"/>
        </w:rPr>
      </w:pPr>
      <w:r>
        <w:rPr>
          <w:rFonts w:hint="eastAsia"/>
          <w:color w:val="000000"/>
          <w:szCs w:val="20"/>
        </w:rPr>
        <w:t>主编单位：河北省建筑</w:t>
      </w:r>
      <w:r>
        <w:rPr>
          <w:color w:val="000000"/>
          <w:szCs w:val="20"/>
        </w:rPr>
        <w:t>科学研究院有限公司</w:t>
      </w:r>
    </w:p>
    <w:p>
      <w:pPr>
        <w:spacing w:line="380" w:lineRule="atLeast"/>
        <w:ind w:firstLine="420" w:firstLineChars="200"/>
        <w:rPr>
          <w:color w:val="000000"/>
          <w:szCs w:val="20"/>
        </w:rPr>
      </w:pPr>
      <w:r>
        <w:rPr>
          <w:rFonts w:hint="eastAsia"/>
          <w:color w:val="000000"/>
          <w:szCs w:val="20"/>
        </w:rPr>
        <w:t xml:space="preserve">          河北省建筑装饰业协会</w:t>
      </w:r>
    </w:p>
    <w:p>
      <w:pPr>
        <w:spacing w:line="380" w:lineRule="atLeast"/>
        <w:ind w:firstLine="1470" w:firstLineChars="700"/>
        <w:rPr>
          <w:color w:val="000000"/>
          <w:szCs w:val="20"/>
        </w:rPr>
      </w:pPr>
      <w:r>
        <w:rPr>
          <w:rFonts w:hint="eastAsia"/>
          <w:color w:val="000000"/>
          <w:szCs w:val="20"/>
        </w:rPr>
        <w:t>河北省室内装饰集团有限公司</w:t>
      </w:r>
    </w:p>
    <w:p>
      <w:pPr>
        <w:spacing w:line="380" w:lineRule="atLeast"/>
        <w:ind w:firstLine="420" w:firstLineChars="200"/>
        <w:rPr>
          <w:color w:val="000000"/>
          <w:szCs w:val="20"/>
        </w:rPr>
      </w:pPr>
      <w:r>
        <w:rPr>
          <w:color w:val="000000"/>
          <w:szCs w:val="20"/>
        </w:rPr>
        <w:t xml:space="preserve">          </w:t>
      </w:r>
    </w:p>
    <w:p>
      <w:pPr>
        <w:topLinePunct w:val="1"/>
        <w:spacing w:line="380" w:lineRule="atLeast"/>
        <w:ind w:firstLine="437"/>
        <w:rPr>
          <w:color w:val="000000"/>
          <w:szCs w:val="20"/>
        </w:rPr>
      </w:pPr>
      <w:r>
        <w:rPr>
          <w:color w:val="000000"/>
          <w:szCs w:val="20"/>
        </w:rPr>
        <w:t xml:space="preserve">参编单位： </w:t>
      </w:r>
    </w:p>
    <w:p>
      <w:pPr>
        <w:topLinePunct w:val="1"/>
        <w:spacing w:line="380" w:lineRule="atLeast"/>
        <w:ind w:firstLine="437"/>
        <w:rPr>
          <w:color w:val="000000"/>
          <w:szCs w:val="20"/>
        </w:rPr>
      </w:pPr>
      <w:r>
        <w:rPr>
          <w:color w:val="000000"/>
          <w:szCs w:val="20"/>
        </w:rPr>
        <w:t xml:space="preserve">          </w:t>
      </w:r>
    </w:p>
    <w:p>
      <w:pPr>
        <w:topLinePunct w:val="1"/>
        <w:spacing w:line="380" w:lineRule="atLeast"/>
        <w:ind w:firstLine="437"/>
        <w:rPr>
          <w:color w:val="000000"/>
          <w:szCs w:val="20"/>
        </w:rPr>
      </w:pPr>
      <w:r>
        <w:rPr>
          <w:color w:val="000000"/>
          <w:szCs w:val="20"/>
        </w:rPr>
        <w:t xml:space="preserve">     </w:t>
      </w:r>
    </w:p>
    <w:p>
      <w:pPr>
        <w:spacing w:before="100" w:beforeAutospacing="1" w:after="100" w:afterAutospacing="1" w:line="380" w:lineRule="exact"/>
        <w:jc w:val="center"/>
        <w:rPr>
          <w:color w:val="000000"/>
          <w:szCs w:val="21"/>
        </w:rPr>
      </w:pPr>
      <w:r>
        <w:rPr>
          <w:color w:val="000000"/>
          <w:szCs w:val="21"/>
        </w:rPr>
        <w:br w:type="page"/>
      </w:r>
      <w:bookmarkStart w:id="2" w:name="_Toc270842975"/>
      <w:bookmarkStart w:id="3" w:name="_Toc270844140"/>
      <w:r>
        <w:rPr>
          <w:rFonts w:eastAsia="方正小标宋简体"/>
          <w:color w:val="000000"/>
          <w:spacing w:val="20"/>
          <w:sz w:val="28"/>
          <w:szCs w:val="28"/>
        </w:rPr>
        <w:t>目  次</w:t>
      </w:r>
      <w:bookmarkEnd w:id="2"/>
      <w:bookmarkEnd w:id="3"/>
      <w:r>
        <w:rPr>
          <w:rFonts w:eastAsia="方正小标宋简体"/>
          <w:color w:val="000000"/>
          <w:kern w:val="0"/>
          <w:szCs w:val="21"/>
        </w:rPr>
        <w:fldChar w:fldCharType="begin"/>
      </w:r>
      <w:r>
        <w:rPr>
          <w:rFonts w:eastAsia="方正小标宋简体"/>
          <w:color w:val="000000"/>
          <w:kern w:val="0"/>
          <w:szCs w:val="21"/>
        </w:rPr>
        <w:instrText xml:space="preserve"> TOC \o "1-3" \h \z \u </w:instrText>
      </w:r>
      <w:r>
        <w:rPr>
          <w:rFonts w:eastAsia="方正小标宋简体"/>
          <w:color w:val="000000"/>
          <w:kern w:val="0"/>
          <w:szCs w:val="21"/>
        </w:rPr>
        <w:fldChar w:fldCharType="separate"/>
      </w:r>
    </w:p>
    <w:p>
      <w:pPr>
        <w:pStyle w:val="33"/>
        <w:tabs>
          <w:tab w:val="right" w:leader="dot" w:pos="5886"/>
        </w:tabs>
        <w:spacing w:line="360" w:lineRule="exact"/>
        <w:rPr>
          <w:rStyle w:val="52"/>
          <w:color w:val="000000"/>
          <w:kern w:val="0"/>
          <w:szCs w:val="21"/>
        </w:rPr>
      </w:pPr>
      <w:r>
        <w:fldChar w:fldCharType="begin"/>
      </w:r>
      <w:r>
        <w:instrText xml:space="preserve">HYPERLINK  \l "_bookmark0" </w:instrText>
      </w:r>
      <w:r>
        <w:fldChar w:fldCharType="separate"/>
      </w:r>
      <w:r>
        <w:rPr>
          <w:rStyle w:val="52"/>
          <w:color w:val="000000"/>
          <w:kern w:val="0"/>
          <w:szCs w:val="21"/>
        </w:rPr>
        <w:t>1  总则</w:t>
      </w:r>
      <w:r>
        <w:rPr>
          <w:rStyle w:val="52"/>
          <w:color w:val="000000"/>
          <w:kern w:val="0"/>
          <w:szCs w:val="21"/>
        </w:rPr>
        <w:tab/>
      </w:r>
      <w:r>
        <w:fldChar w:fldCharType="end"/>
      </w:r>
      <w:r>
        <w:rPr>
          <w:rFonts w:hint="eastAsia"/>
          <w:color w:val="000000"/>
        </w:rPr>
        <w:t>1</w:t>
      </w:r>
    </w:p>
    <w:p>
      <w:pPr>
        <w:pStyle w:val="33"/>
        <w:tabs>
          <w:tab w:val="right" w:leader="dot" w:pos="5886"/>
        </w:tabs>
        <w:spacing w:line="360" w:lineRule="exact"/>
        <w:rPr>
          <w:rStyle w:val="52"/>
          <w:color w:val="000000"/>
          <w:kern w:val="0"/>
          <w:szCs w:val="21"/>
        </w:rPr>
      </w:pPr>
      <w:r>
        <w:fldChar w:fldCharType="begin"/>
      </w:r>
      <w:r>
        <w:instrText xml:space="preserve">HYPERLINK  \l "_bookmark1" </w:instrText>
      </w:r>
      <w:r>
        <w:fldChar w:fldCharType="separate"/>
      </w:r>
      <w:r>
        <w:rPr>
          <w:rStyle w:val="52"/>
          <w:color w:val="000000"/>
          <w:kern w:val="0"/>
          <w:szCs w:val="21"/>
        </w:rPr>
        <w:t>2  术语</w:t>
      </w:r>
      <w:r>
        <w:rPr>
          <w:rStyle w:val="52"/>
          <w:color w:val="000000"/>
          <w:kern w:val="0"/>
          <w:szCs w:val="21"/>
        </w:rPr>
        <w:tab/>
      </w:r>
      <w:r>
        <w:fldChar w:fldCharType="end"/>
      </w:r>
      <w:r>
        <w:rPr>
          <w:color w:val="000000"/>
        </w:rPr>
        <w:t>3</w:t>
      </w:r>
    </w:p>
    <w:p>
      <w:pPr>
        <w:pStyle w:val="33"/>
        <w:tabs>
          <w:tab w:val="right" w:leader="dot" w:pos="5886"/>
        </w:tabs>
        <w:spacing w:line="360" w:lineRule="exact"/>
        <w:rPr>
          <w:rStyle w:val="52"/>
          <w:color w:val="000000"/>
          <w:kern w:val="0"/>
          <w:szCs w:val="21"/>
        </w:rPr>
      </w:pPr>
      <w:r>
        <w:fldChar w:fldCharType="begin"/>
      </w:r>
      <w:r>
        <w:instrText xml:space="preserve">HYPERLINK  \l "_bookmark2" </w:instrText>
      </w:r>
      <w:r>
        <w:fldChar w:fldCharType="separate"/>
      </w:r>
      <w:r>
        <w:rPr>
          <w:rStyle w:val="52"/>
          <w:color w:val="000000"/>
          <w:kern w:val="0"/>
          <w:szCs w:val="21"/>
        </w:rPr>
        <w:t>3  基本规定</w:t>
      </w:r>
      <w:r>
        <w:rPr>
          <w:rStyle w:val="52"/>
          <w:color w:val="000000"/>
          <w:kern w:val="0"/>
          <w:szCs w:val="21"/>
        </w:rPr>
        <w:tab/>
      </w:r>
      <w:r>
        <w:fldChar w:fldCharType="end"/>
      </w:r>
      <w:r>
        <w:rPr>
          <w:color w:val="000000"/>
        </w:rPr>
        <w:t>4</w:t>
      </w:r>
    </w:p>
    <w:p>
      <w:pPr>
        <w:pStyle w:val="40"/>
        <w:tabs>
          <w:tab w:val="right" w:leader="dot" w:pos="5886"/>
        </w:tabs>
        <w:spacing w:line="360" w:lineRule="exact"/>
        <w:rPr>
          <w:rStyle w:val="52"/>
          <w:color w:val="000000"/>
          <w:kern w:val="0"/>
          <w:szCs w:val="21"/>
        </w:rPr>
      </w:pPr>
      <w:r>
        <w:fldChar w:fldCharType="begin"/>
      </w:r>
      <w:r>
        <w:instrText xml:space="preserve">HYPERLINK  \l "_bookmark3" </w:instrText>
      </w:r>
      <w:r>
        <w:fldChar w:fldCharType="separate"/>
      </w:r>
      <w:r>
        <w:rPr>
          <w:rStyle w:val="52"/>
          <w:color w:val="000000"/>
          <w:kern w:val="0"/>
          <w:szCs w:val="21"/>
        </w:rPr>
        <w:t>3.1  一般规定</w:t>
      </w:r>
      <w:r>
        <w:rPr>
          <w:rStyle w:val="52"/>
          <w:color w:val="000000"/>
          <w:kern w:val="0"/>
          <w:szCs w:val="21"/>
        </w:rPr>
        <w:tab/>
      </w:r>
      <w:r>
        <w:fldChar w:fldCharType="end"/>
      </w:r>
      <w:r>
        <w:rPr>
          <w:color w:val="000000"/>
        </w:rPr>
        <w:t>4</w:t>
      </w:r>
    </w:p>
    <w:p>
      <w:pPr>
        <w:pStyle w:val="40"/>
        <w:tabs>
          <w:tab w:val="right" w:leader="dot" w:pos="5886"/>
        </w:tabs>
        <w:spacing w:line="360" w:lineRule="exact"/>
        <w:rPr>
          <w:rStyle w:val="52"/>
          <w:color w:val="000000"/>
          <w:kern w:val="0"/>
          <w:szCs w:val="21"/>
        </w:rPr>
      </w:pPr>
      <w:r>
        <w:fldChar w:fldCharType="begin"/>
      </w:r>
      <w:r>
        <w:instrText xml:space="preserve">HYPERLINK  \l "_bookmark4" </w:instrText>
      </w:r>
      <w:r>
        <w:fldChar w:fldCharType="separate"/>
      </w:r>
      <w:r>
        <w:rPr>
          <w:rStyle w:val="52"/>
          <w:color w:val="000000"/>
          <w:kern w:val="0"/>
          <w:szCs w:val="21"/>
        </w:rPr>
        <w:t>3.2  评价与等级划分</w:t>
      </w:r>
      <w:r>
        <w:rPr>
          <w:rStyle w:val="52"/>
          <w:color w:val="000000"/>
          <w:kern w:val="0"/>
          <w:szCs w:val="21"/>
        </w:rPr>
        <w:tab/>
      </w:r>
      <w:r>
        <w:fldChar w:fldCharType="end"/>
      </w:r>
      <w:r>
        <w:rPr>
          <w:color w:val="000000"/>
        </w:rPr>
        <w:t>5</w:t>
      </w:r>
    </w:p>
    <w:p>
      <w:pPr>
        <w:pStyle w:val="33"/>
        <w:tabs>
          <w:tab w:val="right" w:leader="dot" w:pos="5886"/>
        </w:tabs>
        <w:spacing w:line="360" w:lineRule="exact"/>
        <w:rPr>
          <w:rStyle w:val="52"/>
          <w:color w:val="000000"/>
          <w:kern w:val="0"/>
          <w:szCs w:val="21"/>
        </w:rPr>
      </w:pPr>
      <w:r>
        <w:fldChar w:fldCharType="begin"/>
      </w:r>
      <w:r>
        <w:instrText xml:space="preserve">HYPERLINK  \l "_bookmark5" </w:instrText>
      </w:r>
      <w:r>
        <w:fldChar w:fldCharType="separate"/>
      </w:r>
      <w:r>
        <w:rPr>
          <w:rStyle w:val="52"/>
          <w:color w:val="000000"/>
          <w:kern w:val="0"/>
          <w:szCs w:val="21"/>
        </w:rPr>
        <w:t xml:space="preserve">4  </w:t>
      </w:r>
      <w:r>
        <w:rPr>
          <w:rStyle w:val="52"/>
          <w:rFonts w:hint="eastAsia"/>
          <w:color w:val="000000"/>
          <w:kern w:val="0"/>
          <w:szCs w:val="21"/>
        </w:rPr>
        <w:t>设计</w:t>
      </w:r>
      <w:r>
        <w:rPr>
          <w:rStyle w:val="52"/>
          <w:color w:val="000000"/>
          <w:kern w:val="0"/>
          <w:szCs w:val="21"/>
        </w:rPr>
        <w:tab/>
      </w:r>
      <w:r>
        <w:fldChar w:fldCharType="end"/>
      </w:r>
      <w:r>
        <w:rPr>
          <w:color w:val="000000"/>
        </w:rPr>
        <w:t>8</w:t>
      </w:r>
    </w:p>
    <w:p>
      <w:pPr>
        <w:pStyle w:val="40"/>
        <w:tabs>
          <w:tab w:val="right" w:leader="dot" w:pos="5886"/>
        </w:tabs>
        <w:spacing w:line="360" w:lineRule="exact"/>
        <w:rPr>
          <w:color w:val="000000"/>
        </w:rPr>
      </w:pPr>
      <w:r>
        <w:fldChar w:fldCharType="begin"/>
      </w:r>
      <w:r>
        <w:instrText xml:space="preserve">HYPERLINK  \l "_bookmark6" </w:instrText>
      </w:r>
      <w:r>
        <w:fldChar w:fldCharType="separate"/>
      </w:r>
      <w:r>
        <w:rPr>
          <w:rStyle w:val="52"/>
          <w:color w:val="000000"/>
          <w:kern w:val="0"/>
          <w:szCs w:val="21"/>
        </w:rPr>
        <w:t>4.1  控制项</w:t>
      </w:r>
      <w:r>
        <w:rPr>
          <w:rStyle w:val="52"/>
          <w:color w:val="000000"/>
          <w:kern w:val="0"/>
          <w:szCs w:val="21"/>
        </w:rPr>
        <w:tab/>
      </w:r>
      <w:r>
        <w:fldChar w:fldCharType="end"/>
      </w:r>
      <w:r>
        <w:rPr>
          <w:color w:val="000000"/>
        </w:rPr>
        <w:t>8</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"_bookmark8" </w:instrText>
      </w:r>
      <w:r>
        <w:fldChar w:fldCharType="separate"/>
      </w:r>
      <w:r>
        <w:rPr>
          <w:rStyle w:val="52"/>
          <w:rFonts w:hint="eastAsia" w:cs="宋体"/>
          <w:color w:val="000000"/>
          <w:kern w:val="0"/>
          <w:szCs w:val="21"/>
        </w:rPr>
        <w:t>Ⅰ</w:t>
      </w:r>
      <w:r>
        <w:rPr>
          <w:rStyle w:val="52"/>
          <w:color w:val="000000"/>
          <w:kern w:val="0"/>
          <w:szCs w:val="21"/>
        </w:rPr>
        <w:t xml:space="preserve"> 安全耐久</w:t>
      </w:r>
      <w:r>
        <w:rPr>
          <w:rStyle w:val="52"/>
          <w:color w:val="000000"/>
          <w:kern w:val="0"/>
          <w:szCs w:val="21"/>
        </w:rPr>
        <w:tab/>
      </w:r>
      <w:r>
        <w:fldChar w:fldCharType="end"/>
      </w:r>
      <w:r>
        <w:rPr>
          <w:color w:val="000000"/>
        </w:rPr>
        <w:t>8</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"_bookmark8" </w:instrText>
      </w:r>
      <w:r>
        <w:fldChar w:fldCharType="separate"/>
      </w:r>
      <w:r>
        <w:rPr>
          <w:rStyle w:val="52"/>
          <w:rFonts w:hint="eastAsia" w:cs="宋体"/>
          <w:color w:val="000000"/>
          <w:kern w:val="0"/>
          <w:szCs w:val="21"/>
        </w:rPr>
        <w:t>Ⅱ</w:t>
      </w:r>
      <w:r>
        <w:rPr>
          <w:rStyle w:val="52"/>
          <w:color w:val="000000"/>
          <w:kern w:val="0"/>
          <w:szCs w:val="21"/>
        </w:rPr>
        <w:t xml:space="preserve"> </w:t>
      </w:r>
      <w:r>
        <w:rPr>
          <w:rStyle w:val="52"/>
          <w:rFonts w:hint="eastAsia"/>
          <w:color w:val="000000"/>
          <w:kern w:val="0"/>
          <w:szCs w:val="21"/>
        </w:rPr>
        <w:t>健康舒适</w:t>
      </w:r>
      <w:r>
        <w:rPr>
          <w:rStyle w:val="52"/>
          <w:color w:val="000000"/>
          <w:kern w:val="0"/>
          <w:szCs w:val="21"/>
        </w:rPr>
        <w:tab/>
      </w:r>
      <w:r>
        <w:fldChar w:fldCharType="end"/>
      </w:r>
      <w:r>
        <w:rPr>
          <w:color w:val="000000"/>
        </w:rPr>
        <w:t>12</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"_bookmark8" </w:instrText>
      </w:r>
      <w:r>
        <w:fldChar w:fldCharType="separate"/>
      </w:r>
      <w:r>
        <w:rPr>
          <w:rStyle w:val="52"/>
          <w:rFonts w:hint="eastAsia" w:cs="宋体"/>
          <w:color w:val="000000"/>
          <w:kern w:val="0"/>
          <w:szCs w:val="21"/>
        </w:rPr>
        <w:t>Ⅲ</w:t>
      </w:r>
      <w:r>
        <w:rPr>
          <w:rStyle w:val="52"/>
          <w:color w:val="000000"/>
          <w:kern w:val="0"/>
          <w:szCs w:val="21"/>
        </w:rPr>
        <w:t xml:space="preserve"> </w:t>
      </w:r>
      <w:r>
        <w:rPr>
          <w:rStyle w:val="52"/>
          <w:rFonts w:hint="eastAsia"/>
          <w:color w:val="000000"/>
          <w:kern w:val="0"/>
          <w:szCs w:val="21"/>
        </w:rPr>
        <w:t>资源节约</w:t>
      </w:r>
      <w:r>
        <w:rPr>
          <w:rStyle w:val="52"/>
          <w:color w:val="000000"/>
          <w:kern w:val="0"/>
          <w:szCs w:val="21"/>
        </w:rPr>
        <w:tab/>
      </w:r>
      <w:r>
        <w:fldChar w:fldCharType="end"/>
      </w:r>
      <w:r>
        <w:rPr>
          <w:rFonts w:hint="eastAsia"/>
          <w:color w:val="000000"/>
        </w:rPr>
        <w:t>20</w:t>
      </w:r>
    </w:p>
    <w:p>
      <w:pPr>
        <w:pStyle w:val="40"/>
        <w:tabs>
          <w:tab w:val="right" w:leader="dot" w:pos="5886"/>
        </w:tabs>
        <w:spacing w:line="360" w:lineRule="exact"/>
        <w:rPr>
          <w:rStyle w:val="52"/>
          <w:color w:val="000000"/>
          <w:kern w:val="0"/>
          <w:szCs w:val="21"/>
        </w:rPr>
      </w:pPr>
      <w:r>
        <w:fldChar w:fldCharType="begin"/>
      </w:r>
      <w:r>
        <w:instrText xml:space="preserve">HYPERLINK  \l "_bookmark7" </w:instrText>
      </w:r>
      <w:r>
        <w:fldChar w:fldCharType="separate"/>
      </w:r>
      <w:r>
        <w:rPr>
          <w:rStyle w:val="52"/>
          <w:color w:val="000000"/>
          <w:kern w:val="0"/>
          <w:szCs w:val="21"/>
        </w:rPr>
        <w:t>4.2  评分项</w:t>
      </w:r>
      <w:r>
        <w:rPr>
          <w:rStyle w:val="52"/>
          <w:color w:val="000000"/>
          <w:kern w:val="0"/>
          <w:szCs w:val="21"/>
        </w:rPr>
        <w:tab/>
      </w:r>
      <w:r>
        <w:fldChar w:fldCharType="end"/>
      </w:r>
      <w:r>
        <w:rPr>
          <w:color w:val="000000"/>
        </w:rPr>
        <w:t>26</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"_bookmark8" </w:instrText>
      </w:r>
      <w:r>
        <w:fldChar w:fldCharType="separate"/>
      </w:r>
      <w:r>
        <w:rPr>
          <w:rStyle w:val="52"/>
          <w:rFonts w:hint="eastAsia" w:cs="宋体"/>
          <w:color w:val="000000"/>
          <w:kern w:val="0"/>
          <w:szCs w:val="21"/>
        </w:rPr>
        <w:t>Ⅰ</w:t>
      </w:r>
      <w:r>
        <w:rPr>
          <w:rStyle w:val="52"/>
          <w:color w:val="000000"/>
          <w:kern w:val="0"/>
          <w:szCs w:val="21"/>
        </w:rPr>
        <w:t xml:space="preserve"> 安全</w:t>
      </w:r>
      <w:r>
        <w:rPr>
          <w:rStyle w:val="52"/>
          <w:rFonts w:hint="eastAsia"/>
          <w:color w:val="000000"/>
          <w:kern w:val="0"/>
          <w:szCs w:val="21"/>
        </w:rPr>
        <w:t>耐久</w:t>
      </w:r>
      <w:r>
        <w:rPr>
          <w:rStyle w:val="52"/>
          <w:color w:val="000000"/>
          <w:kern w:val="0"/>
          <w:szCs w:val="21"/>
        </w:rPr>
        <w:tab/>
      </w:r>
      <w:r>
        <w:fldChar w:fldCharType="end"/>
      </w:r>
      <w:r>
        <w:rPr>
          <w:color w:val="000000"/>
        </w:rPr>
        <w:t>26</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"_bookmark9" </w:instrText>
      </w:r>
      <w:r>
        <w:fldChar w:fldCharType="separate"/>
      </w:r>
      <w:r>
        <w:rPr>
          <w:rStyle w:val="52"/>
          <w:rFonts w:hint="eastAsia" w:cs="宋体"/>
          <w:color w:val="000000"/>
          <w:kern w:val="0"/>
          <w:szCs w:val="21"/>
        </w:rPr>
        <w:t>Ⅱ</w:t>
      </w:r>
      <w:r>
        <w:rPr>
          <w:rStyle w:val="52"/>
          <w:color w:val="000000"/>
          <w:kern w:val="0"/>
          <w:szCs w:val="21"/>
        </w:rPr>
        <w:t xml:space="preserve"> </w:t>
      </w:r>
      <w:r>
        <w:rPr>
          <w:rStyle w:val="52"/>
          <w:rFonts w:hint="eastAsia"/>
          <w:color w:val="000000"/>
          <w:kern w:val="0"/>
          <w:szCs w:val="21"/>
        </w:rPr>
        <w:t>健康舒适</w:t>
      </w:r>
      <w:r>
        <w:rPr>
          <w:rStyle w:val="52"/>
          <w:color w:val="000000"/>
          <w:kern w:val="0"/>
          <w:szCs w:val="21"/>
        </w:rPr>
        <w:tab/>
      </w:r>
      <w:r>
        <w:fldChar w:fldCharType="end"/>
      </w:r>
      <w:r>
        <w:rPr>
          <w:color w:val="000000"/>
        </w:rPr>
        <w:t>33</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"_bookmark8" </w:instrText>
      </w:r>
      <w:r>
        <w:fldChar w:fldCharType="separate"/>
      </w:r>
      <w:r>
        <w:rPr>
          <w:rFonts w:hint="eastAsia" w:cs="宋体"/>
          <w:color w:val="000000"/>
        </w:rPr>
        <w:t>Ⅲ</w:t>
      </w:r>
      <w:r>
        <w:rPr>
          <w:rStyle w:val="52"/>
          <w:color w:val="000000"/>
          <w:kern w:val="0"/>
          <w:szCs w:val="21"/>
        </w:rPr>
        <w:t xml:space="preserve"> </w:t>
      </w:r>
      <w:r>
        <w:rPr>
          <w:rStyle w:val="52"/>
          <w:rFonts w:hint="eastAsia"/>
          <w:color w:val="000000"/>
          <w:kern w:val="0"/>
          <w:szCs w:val="21"/>
        </w:rPr>
        <w:t>资源节约</w:t>
      </w:r>
      <w:r>
        <w:rPr>
          <w:rStyle w:val="52"/>
          <w:color w:val="000000"/>
          <w:kern w:val="0"/>
          <w:szCs w:val="21"/>
        </w:rPr>
        <w:tab/>
      </w:r>
      <w:r>
        <w:fldChar w:fldCharType="end"/>
      </w:r>
      <w:r>
        <w:rPr>
          <w:color w:val="000000"/>
        </w:rPr>
        <w:t>47</w:t>
      </w:r>
    </w:p>
    <w:p>
      <w:pPr>
        <w:pStyle w:val="33"/>
        <w:tabs>
          <w:tab w:val="right" w:leader="dot" w:pos="5886"/>
        </w:tabs>
        <w:spacing w:line="360" w:lineRule="exact"/>
        <w:rPr>
          <w:rStyle w:val="52"/>
          <w:color w:val="000000"/>
          <w:kern w:val="0"/>
          <w:szCs w:val="21"/>
        </w:rPr>
      </w:pPr>
      <w:r>
        <w:fldChar w:fldCharType="begin"/>
      </w:r>
      <w:r>
        <w:instrText xml:space="preserve">HYPERLINK  \l "_bookmark17" </w:instrText>
      </w:r>
      <w:r>
        <w:fldChar w:fldCharType="separate"/>
      </w:r>
      <w:r>
        <w:rPr>
          <w:rStyle w:val="52"/>
          <w:rFonts w:hint="eastAsia"/>
          <w:color w:val="000000"/>
          <w:kern w:val="0"/>
          <w:szCs w:val="21"/>
        </w:rPr>
        <w:t>5</w:t>
      </w:r>
      <w:r>
        <w:rPr>
          <w:rStyle w:val="52"/>
          <w:color w:val="000000"/>
          <w:kern w:val="0"/>
          <w:szCs w:val="21"/>
        </w:rPr>
        <w:t xml:space="preserve">  </w:t>
      </w:r>
      <w:r>
        <w:rPr>
          <w:rStyle w:val="52"/>
          <w:rFonts w:hint="eastAsia"/>
          <w:color w:val="000000"/>
          <w:kern w:val="0"/>
          <w:szCs w:val="21"/>
        </w:rPr>
        <w:t>材料与</w:t>
      </w:r>
      <w:r>
        <w:rPr>
          <w:rStyle w:val="52"/>
          <w:color w:val="000000"/>
          <w:kern w:val="0"/>
          <w:szCs w:val="21"/>
        </w:rPr>
        <w:t>部品</w:t>
      </w:r>
      <w:r>
        <w:rPr>
          <w:rStyle w:val="52"/>
          <w:color w:val="000000"/>
          <w:kern w:val="0"/>
          <w:szCs w:val="21"/>
        </w:rPr>
        <w:tab/>
      </w:r>
      <w:r>
        <w:fldChar w:fldCharType="end"/>
      </w:r>
      <w:r>
        <w:rPr>
          <w:color w:val="000000"/>
        </w:rPr>
        <w:t>56</w:t>
      </w:r>
    </w:p>
    <w:p>
      <w:pPr>
        <w:pStyle w:val="40"/>
        <w:tabs>
          <w:tab w:val="right" w:leader="dot" w:pos="5886"/>
        </w:tabs>
        <w:spacing w:line="360" w:lineRule="exact"/>
        <w:rPr>
          <w:rStyle w:val="52"/>
          <w:color w:val="000000"/>
          <w:kern w:val="0"/>
          <w:szCs w:val="21"/>
        </w:rPr>
      </w:pPr>
      <w:r>
        <w:fldChar w:fldCharType="begin"/>
      </w:r>
      <w:r>
        <w:instrText xml:space="preserve">HYPERLINK  \l "_bookmark18" </w:instrText>
      </w:r>
      <w:r>
        <w:fldChar w:fldCharType="separate"/>
      </w:r>
      <w:r>
        <w:rPr>
          <w:rStyle w:val="52"/>
          <w:rFonts w:hint="eastAsia"/>
          <w:color w:val="000000"/>
          <w:kern w:val="0"/>
          <w:szCs w:val="21"/>
        </w:rPr>
        <w:t>5</w:t>
      </w:r>
      <w:r>
        <w:rPr>
          <w:rStyle w:val="52"/>
          <w:color w:val="000000"/>
          <w:kern w:val="0"/>
          <w:szCs w:val="21"/>
        </w:rPr>
        <w:t>.1  控制项</w:t>
      </w:r>
      <w:r>
        <w:rPr>
          <w:rStyle w:val="52"/>
          <w:color w:val="000000"/>
          <w:kern w:val="0"/>
          <w:szCs w:val="21"/>
        </w:rPr>
        <w:tab/>
      </w:r>
      <w:r>
        <w:fldChar w:fldCharType="end"/>
      </w:r>
      <w:r>
        <w:rPr>
          <w:color w:val="000000"/>
        </w:rPr>
        <w:t>56</w:t>
      </w:r>
    </w:p>
    <w:p>
      <w:pPr>
        <w:pStyle w:val="40"/>
        <w:tabs>
          <w:tab w:val="right" w:leader="dot" w:pos="5886"/>
        </w:tabs>
        <w:spacing w:line="360" w:lineRule="exact"/>
        <w:rPr>
          <w:rStyle w:val="52"/>
          <w:color w:val="000000"/>
          <w:kern w:val="0"/>
          <w:szCs w:val="21"/>
        </w:rPr>
      </w:pPr>
      <w:r>
        <w:fldChar w:fldCharType="begin"/>
      </w:r>
      <w:r>
        <w:instrText xml:space="preserve">HYPERLINK  \l "_bookmark19" </w:instrText>
      </w:r>
      <w:r>
        <w:fldChar w:fldCharType="separate"/>
      </w:r>
      <w:r>
        <w:rPr>
          <w:rStyle w:val="52"/>
          <w:rFonts w:hint="eastAsia"/>
          <w:color w:val="000000"/>
          <w:kern w:val="0"/>
          <w:szCs w:val="21"/>
        </w:rPr>
        <w:t>5</w:t>
      </w:r>
      <w:r>
        <w:rPr>
          <w:rStyle w:val="52"/>
          <w:color w:val="000000"/>
          <w:kern w:val="0"/>
          <w:szCs w:val="21"/>
        </w:rPr>
        <w:t>.2  评分项</w:t>
      </w:r>
      <w:r>
        <w:rPr>
          <w:rStyle w:val="52"/>
          <w:color w:val="000000"/>
          <w:kern w:val="0"/>
          <w:szCs w:val="21"/>
        </w:rPr>
        <w:tab/>
      </w:r>
      <w:r>
        <w:fldChar w:fldCharType="end"/>
      </w:r>
      <w:r>
        <w:rPr>
          <w:color w:val="000000"/>
        </w:rPr>
        <w:t>67</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"_bookmark13" </w:instrText>
      </w:r>
      <w:r>
        <w:fldChar w:fldCharType="separate"/>
      </w:r>
      <w:r>
        <w:rPr>
          <w:rStyle w:val="52"/>
          <w:rFonts w:hint="eastAsia" w:cs="宋体"/>
          <w:color w:val="000000"/>
          <w:kern w:val="0"/>
          <w:szCs w:val="21"/>
        </w:rPr>
        <w:t>Ⅰ</w:t>
      </w:r>
      <w:r>
        <w:rPr>
          <w:rStyle w:val="52"/>
          <w:color w:val="000000"/>
          <w:kern w:val="0"/>
          <w:szCs w:val="21"/>
        </w:rPr>
        <w:t xml:space="preserve"> </w:t>
      </w:r>
      <w:r>
        <w:rPr>
          <w:rStyle w:val="52"/>
          <w:rFonts w:hint="eastAsia"/>
          <w:color w:val="000000"/>
          <w:kern w:val="0"/>
          <w:szCs w:val="21"/>
        </w:rPr>
        <w:t>材料</w:t>
      </w:r>
      <w:r>
        <w:rPr>
          <w:rStyle w:val="52"/>
          <w:color w:val="000000"/>
          <w:kern w:val="0"/>
          <w:szCs w:val="21"/>
        </w:rPr>
        <w:tab/>
      </w:r>
      <w:r>
        <w:fldChar w:fldCharType="end"/>
      </w:r>
      <w:r>
        <w:rPr>
          <w:color w:val="000000"/>
        </w:rPr>
        <w:t>67</w:t>
      </w:r>
    </w:p>
    <w:p>
      <w:pPr>
        <w:pStyle w:val="40"/>
        <w:tabs>
          <w:tab w:val="right" w:leader="dot" w:pos="5886"/>
        </w:tabs>
        <w:spacing w:line="360" w:lineRule="exact"/>
        <w:ind w:firstLine="420" w:firstLineChars="200"/>
        <w:rPr>
          <w:color w:val="000000"/>
          <w:kern w:val="0"/>
          <w:szCs w:val="21"/>
          <w:u w:val="single"/>
        </w:rPr>
      </w:pPr>
      <w:r>
        <w:fldChar w:fldCharType="begin"/>
      </w:r>
      <w:r>
        <w:instrText xml:space="preserve">HYPERLINK  \l "_bookmark14" </w:instrText>
      </w:r>
      <w:r>
        <w:fldChar w:fldCharType="separate"/>
      </w:r>
      <w:r>
        <w:rPr>
          <w:rStyle w:val="52"/>
          <w:rFonts w:hint="eastAsia" w:cs="宋体"/>
          <w:color w:val="000000"/>
          <w:kern w:val="0"/>
          <w:szCs w:val="21"/>
        </w:rPr>
        <w:t>Ⅱ</w:t>
      </w:r>
      <w:r>
        <w:rPr>
          <w:rStyle w:val="52"/>
          <w:color w:val="000000"/>
          <w:kern w:val="0"/>
          <w:szCs w:val="21"/>
        </w:rPr>
        <w:t xml:space="preserve"> </w:t>
      </w:r>
      <w:r>
        <w:rPr>
          <w:rStyle w:val="52"/>
          <w:rFonts w:hint="eastAsia"/>
          <w:color w:val="000000"/>
          <w:kern w:val="0"/>
          <w:szCs w:val="21"/>
        </w:rPr>
        <w:t>部品</w:t>
      </w:r>
      <w:r>
        <w:rPr>
          <w:rStyle w:val="52"/>
          <w:color w:val="000000"/>
          <w:kern w:val="0"/>
          <w:szCs w:val="21"/>
        </w:rPr>
        <w:tab/>
      </w:r>
      <w:r>
        <w:fldChar w:fldCharType="end"/>
      </w:r>
      <w:r>
        <w:rPr>
          <w:color w:val="000000"/>
        </w:rPr>
        <w:t>72</w:t>
      </w:r>
    </w:p>
    <w:p>
      <w:pPr>
        <w:pStyle w:val="33"/>
        <w:tabs>
          <w:tab w:val="right" w:leader="dot" w:pos="5886"/>
        </w:tabs>
        <w:spacing w:line="360" w:lineRule="exact"/>
        <w:rPr>
          <w:rStyle w:val="52"/>
          <w:color w:val="000000"/>
          <w:kern w:val="0"/>
          <w:szCs w:val="21"/>
        </w:rPr>
      </w:pPr>
      <w:r>
        <w:fldChar w:fldCharType="begin"/>
      </w:r>
      <w:r>
        <w:instrText xml:space="preserve">HYPERLINK  \l "_bookmark10" </w:instrText>
      </w:r>
      <w:r>
        <w:fldChar w:fldCharType="separate"/>
      </w:r>
      <w:r>
        <w:rPr>
          <w:rStyle w:val="52"/>
          <w:rFonts w:hint="eastAsia"/>
          <w:color w:val="000000"/>
          <w:kern w:val="0"/>
          <w:szCs w:val="21"/>
        </w:rPr>
        <w:t>6</w:t>
      </w:r>
      <w:r>
        <w:rPr>
          <w:rStyle w:val="52"/>
          <w:color w:val="000000"/>
          <w:kern w:val="0"/>
          <w:szCs w:val="21"/>
        </w:rPr>
        <w:t xml:space="preserve">  </w:t>
      </w:r>
      <w:r>
        <w:rPr>
          <w:rStyle w:val="52"/>
          <w:rFonts w:hint="eastAsia"/>
          <w:color w:val="000000"/>
          <w:kern w:val="0"/>
          <w:szCs w:val="21"/>
        </w:rPr>
        <w:t>施工及</w:t>
      </w:r>
      <w:r>
        <w:rPr>
          <w:rStyle w:val="52"/>
          <w:color w:val="000000"/>
          <w:kern w:val="0"/>
          <w:szCs w:val="21"/>
        </w:rPr>
        <w:t>验收</w:t>
      </w:r>
      <w:r>
        <w:rPr>
          <w:rStyle w:val="52"/>
          <w:color w:val="000000"/>
          <w:kern w:val="0"/>
          <w:szCs w:val="21"/>
        </w:rPr>
        <w:tab/>
      </w:r>
      <w:r>
        <w:fldChar w:fldCharType="end"/>
      </w:r>
      <w:r>
        <w:rPr>
          <w:color w:val="000000"/>
        </w:rPr>
        <w:t>78</w:t>
      </w:r>
    </w:p>
    <w:p>
      <w:pPr>
        <w:pStyle w:val="40"/>
        <w:tabs>
          <w:tab w:val="right" w:leader="dot" w:pos="5886"/>
        </w:tabs>
        <w:spacing w:line="360" w:lineRule="exact"/>
        <w:rPr>
          <w:rStyle w:val="52"/>
          <w:color w:val="000000"/>
          <w:kern w:val="0"/>
          <w:szCs w:val="21"/>
        </w:rPr>
      </w:pPr>
      <w:r>
        <w:fldChar w:fldCharType="begin"/>
      </w:r>
      <w:r>
        <w:instrText xml:space="preserve">HYPERLINK  \l "_bookmark11" </w:instrText>
      </w:r>
      <w:r>
        <w:fldChar w:fldCharType="separate"/>
      </w:r>
      <w:r>
        <w:rPr>
          <w:rStyle w:val="52"/>
          <w:rFonts w:hint="eastAsia"/>
          <w:color w:val="000000"/>
          <w:kern w:val="0"/>
          <w:szCs w:val="21"/>
        </w:rPr>
        <w:t>6</w:t>
      </w:r>
      <w:r>
        <w:rPr>
          <w:rStyle w:val="52"/>
          <w:color w:val="000000"/>
          <w:kern w:val="0"/>
          <w:szCs w:val="21"/>
        </w:rPr>
        <w:t>.1  控制项</w:t>
      </w:r>
      <w:r>
        <w:rPr>
          <w:rStyle w:val="52"/>
          <w:color w:val="000000"/>
          <w:kern w:val="0"/>
          <w:szCs w:val="21"/>
        </w:rPr>
        <w:tab/>
      </w:r>
      <w:r>
        <w:fldChar w:fldCharType="end"/>
      </w:r>
      <w:r>
        <w:rPr>
          <w:color w:val="000000"/>
        </w:rPr>
        <w:t>78</w:t>
      </w:r>
    </w:p>
    <w:p>
      <w:pPr>
        <w:pStyle w:val="40"/>
        <w:tabs>
          <w:tab w:val="right" w:leader="dot" w:pos="5886"/>
        </w:tabs>
        <w:spacing w:line="360" w:lineRule="exact"/>
        <w:rPr>
          <w:rStyle w:val="52"/>
          <w:color w:val="000000"/>
          <w:kern w:val="0"/>
          <w:szCs w:val="21"/>
        </w:rPr>
      </w:pPr>
      <w:r>
        <w:fldChar w:fldCharType="begin"/>
      </w:r>
      <w:r>
        <w:instrText xml:space="preserve">HYPERLINK  \l "_bookmark12" </w:instrText>
      </w:r>
      <w:r>
        <w:fldChar w:fldCharType="separate"/>
      </w:r>
      <w:r>
        <w:rPr>
          <w:rStyle w:val="52"/>
          <w:rFonts w:hint="eastAsia"/>
          <w:color w:val="000000"/>
          <w:kern w:val="0"/>
          <w:szCs w:val="21"/>
        </w:rPr>
        <w:t>6</w:t>
      </w:r>
      <w:r>
        <w:rPr>
          <w:rStyle w:val="52"/>
          <w:color w:val="000000"/>
          <w:kern w:val="0"/>
          <w:szCs w:val="21"/>
        </w:rPr>
        <w:t>.2  评分项</w:t>
      </w:r>
      <w:r>
        <w:rPr>
          <w:rStyle w:val="52"/>
          <w:color w:val="000000"/>
          <w:kern w:val="0"/>
          <w:szCs w:val="21"/>
        </w:rPr>
        <w:tab/>
      </w:r>
      <w:r>
        <w:fldChar w:fldCharType="end"/>
      </w:r>
      <w:r>
        <w:rPr>
          <w:color w:val="000000"/>
        </w:rPr>
        <w:t>84</w:t>
      </w:r>
    </w:p>
    <w:p>
      <w:pPr>
        <w:pStyle w:val="40"/>
        <w:tabs>
          <w:tab w:val="right" w:leader="dot" w:pos="5886"/>
        </w:tabs>
        <w:spacing w:line="360" w:lineRule="exact"/>
        <w:ind w:firstLine="420" w:firstLineChars="200"/>
        <w:rPr>
          <w:color w:val="000000"/>
          <w:kern w:val="0"/>
          <w:szCs w:val="21"/>
          <w:u w:val="single"/>
        </w:rPr>
      </w:pPr>
      <w:r>
        <w:fldChar w:fldCharType="begin"/>
      </w:r>
      <w:r>
        <w:instrText xml:space="preserve">HYPERLINK  \l "_bookmark13" </w:instrText>
      </w:r>
      <w:r>
        <w:fldChar w:fldCharType="separate"/>
      </w:r>
      <w:r>
        <w:rPr>
          <w:rStyle w:val="52"/>
          <w:rFonts w:hint="eastAsia" w:cs="宋体"/>
          <w:color w:val="000000"/>
          <w:kern w:val="0"/>
          <w:szCs w:val="21"/>
        </w:rPr>
        <w:t>Ⅰ</w:t>
      </w:r>
      <w:r>
        <w:rPr>
          <w:rStyle w:val="52"/>
          <w:color w:val="000000"/>
          <w:kern w:val="0"/>
          <w:szCs w:val="21"/>
        </w:rPr>
        <w:t xml:space="preserve"> </w:t>
      </w:r>
      <w:r>
        <w:rPr>
          <w:rStyle w:val="52"/>
          <w:rFonts w:hint="eastAsia"/>
          <w:color w:val="000000"/>
          <w:kern w:val="0"/>
          <w:szCs w:val="21"/>
        </w:rPr>
        <w:t>环境保护</w:t>
      </w:r>
      <w:r>
        <w:rPr>
          <w:rStyle w:val="52"/>
          <w:color w:val="000000"/>
          <w:kern w:val="0"/>
          <w:szCs w:val="21"/>
        </w:rPr>
        <w:tab/>
      </w:r>
      <w:r>
        <w:fldChar w:fldCharType="end"/>
      </w:r>
      <w:r>
        <w:rPr>
          <w:color w:val="000000"/>
        </w:rPr>
        <w:t>84</w:t>
      </w:r>
    </w:p>
    <w:p>
      <w:pPr>
        <w:pStyle w:val="40"/>
        <w:tabs>
          <w:tab w:val="right" w:leader="dot" w:pos="5886"/>
        </w:tabs>
        <w:spacing w:line="360" w:lineRule="exact"/>
        <w:ind w:firstLine="420" w:firstLineChars="200"/>
        <w:rPr>
          <w:color w:val="000000"/>
          <w:kern w:val="0"/>
          <w:szCs w:val="21"/>
          <w:u w:val="single"/>
        </w:rPr>
      </w:pPr>
      <w:r>
        <w:fldChar w:fldCharType="begin"/>
      </w:r>
      <w:r>
        <w:instrText xml:space="preserve">HYPERLINK  \l "_bookmark13" </w:instrText>
      </w:r>
      <w:r>
        <w:fldChar w:fldCharType="separate"/>
      </w:r>
      <w:r>
        <w:rPr>
          <w:rStyle w:val="52"/>
          <w:rFonts w:hint="eastAsia" w:cs="宋体"/>
          <w:color w:val="000000"/>
          <w:kern w:val="0"/>
          <w:szCs w:val="21"/>
        </w:rPr>
        <w:t>Ⅱ</w:t>
      </w:r>
      <w:r>
        <w:rPr>
          <w:rStyle w:val="52"/>
          <w:color w:val="000000"/>
          <w:kern w:val="0"/>
          <w:szCs w:val="21"/>
        </w:rPr>
        <w:t xml:space="preserve"> </w:t>
      </w:r>
      <w:r>
        <w:rPr>
          <w:rStyle w:val="52"/>
          <w:rFonts w:hint="eastAsia"/>
          <w:color w:val="000000"/>
          <w:kern w:val="0"/>
          <w:szCs w:val="21"/>
        </w:rPr>
        <w:t>资源节约</w:t>
      </w:r>
      <w:r>
        <w:rPr>
          <w:rStyle w:val="52"/>
          <w:color w:val="000000"/>
          <w:kern w:val="0"/>
          <w:szCs w:val="21"/>
        </w:rPr>
        <w:tab/>
      </w:r>
      <w:r>
        <w:fldChar w:fldCharType="end"/>
      </w:r>
      <w:r>
        <w:rPr>
          <w:color w:val="000000"/>
        </w:rPr>
        <w:t>96</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"_bookmark13" </w:instrText>
      </w:r>
      <w:r>
        <w:fldChar w:fldCharType="separate"/>
      </w:r>
      <w:r>
        <w:rPr>
          <w:rStyle w:val="52"/>
          <w:rFonts w:hint="eastAsia" w:cs="宋体"/>
          <w:color w:val="000000"/>
          <w:kern w:val="0"/>
          <w:szCs w:val="21"/>
        </w:rPr>
        <w:t>Ⅲ</w:t>
      </w:r>
      <w:r>
        <w:rPr>
          <w:rStyle w:val="52"/>
          <w:color w:val="000000"/>
          <w:kern w:val="0"/>
          <w:szCs w:val="21"/>
        </w:rPr>
        <w:t xml:space="preserve"> </w:t>
      </w:r>
      <w:r>
        <w:rPr>
          <w:rStyle w:val="52"/>
          <w:rFonts w:hint="eastAsia"/>
          <w:color w:val="000000"/>
          <w:kern w:val="0"/>
          <w:szCs w:val="21"/>
        </w:rPr>
        <w:t>施工管理</w:t>
      </w:r>
      <w:r>
        <w:rPr>
          <w:rStyle w:val="52"/>
          <w:color w:val="000000"/>
          <w:kern w:val="0"/>
          <w:szCs w:val="21"/>
        </w:rPr>
        <w:tab/>
      </w:r>
      <w:r>
        <w:fldChar w:fldCharType="end"/>
      </w:r>
      <w:r>
        <w:rPr>
          <w:color w:val="000000"/>
        </w:rPr>
        <w:t>99</w:t>
      </w:r>
    </w:p>
    <w:p>
      <w:pPr>
        <w:pStyle w:val="40"/>
        <w:tabs>
          <w:tab w:val="right" w:leader="dot" w:pos="5886"/>
        </w:tabs>
        <w:spacing w:line="360" w:lineRule="exact"/>
        <w:ind w:firstLine="420" w:firstLineChars="200"/>
        <w:rPr>
          <w:rStyle w:val="52"/>
          <w:color w:val="000000"/>
          <w:kern w:val="0"/>
          <w:szCs w:val="21"/>
        </w:rPr>
      </w:pPr>
      <w:r>
        <w:fldChar w:fldCharType="begin"/>
      </w:r>
      <w:r>
        <w:instrText xml:space="preserve">HYPERLINK  \l "_bookmark14" </w:instrText>
      </w:r>
      <w:r>
        <w:fldChar w:fldCharType="separate"/>
      </w:r>
      <w:r>
        <w:rPr>
          <w:rStyle w:val="52"/>
          <w:rFonts w:hint="eastAsia" w:cs="宋体"/>
          <w:color w:val="000000"/>
          <w:kern w:val="0"/>
          <w:szCs w:val="21"/>
        </w:rPr>
        <w:t>Ⅳ</w:t>
      </w:r>
      <w:r>
        <w:rPr>
          <w:rStyle w:val="52"/>
          <w:color w:val="000000"/>
          <w:kern w:val="0"/>
          <w:szCs w:val="21"/>
        </w:rPr>
        <w:t xml:space="preserve"> </w:t>
      </w:r>
      <w:r>
        <w:rPr>
          <w:rStyle w:val="52"/>
          <w:rFonts w:hint="eastAsia"/>
          <w:color w:val="000000"/>
          <w:kern w:val="0"/>
          <w:szCs w:val="21"/>
        </w:rPr>
        <w:t>验收及交付</w:t>
      </w:r>
      <w:r>
        <w:rPr>
          <w:rStyle w:val="52"/>
          <w:color w:val="000000"/>
          <w:kern w:val="0"/>
          <w:szCs w:val="21"/>
        </w:rPr>
        <w:tab/>
      </w:r>
      <w:r>
        <w:fldChar w:fldCharType="end"/>
      </w:r>
      <w:r>
        <w:rPr>
          <w:color w:val="000000"/>
        </w:rPr>
        <w:t>105</w:t>
      </w:r>
    </w:p>
    <w:p>
      <w:pPr>
        <w:pStyle w:val="33"/>
        <w:tabs>
          <w:tab w:val="right" w:leader="dot" w:pos="5886"/>
        </w:tabs>
        <w:spacing w:line="360" w:lineRule="exact"/>
        <w:rPr>
          <w:rStyle w:val="52"/>
          <w:color w:val="000000"/>
          <w:kern w:val="0"/>
          <w:szCs w:val="21"/>
        </w:rPr>
      </w:pPr>
      <w:r>
        <w:fldChar w:fldCharType="begin"/>
      </w:r>
      <w:r>
        <w:instrText xml:space="preserve">HYPERLINK  \l "_bookmark31" </w:instrText>
      </w:r>
      <w:r>
        <w:fldChar w:fldCharType="separate"/>
      </w:r>
      <w:r>
        <w:rPr>
          <w:rStyle w:val="52"/>
          <w:color w:val="000000"/>
          <w:kern w:val="0"/>
          <w:szCs w:val="21"/>
        </w:rPr>
        <w:t xml:space="preserve">7  </w:t>
      </w:r>
      <w:r>
        <w:rPr>
          <w:rStyle w:val="52"/>
          <w:rFonts w:hint="eastAsia"/>
          <w:color w:val="000000"/>
          <w:kern w:val="0"/>
          <w:szCs w:val="21"/>
        </w:rPr>
        <w:t>提高与创新</w:t>
      </w:r>
      <w:r>
        <w:rPr>
          <w:rStyle w:val="52"/>
          <w:color w:val="000000"/>
          <w:kern w:val="0"/>
          <w:szCs w:val="21"/>
        </w:rPr>
        <w:tab/>
      </w:r>
      <w:r>
        <w:fldChar w:fldCharType="end"/>
      </w:r>
      <w:r>
        <w:rPr>
          <w:color w:val="000000"/>
        </w:rPr>
        <w:t>107</w:t>
      </w:r>
    </w:p>
    <w:p>
      <w:pPr>
        <w:pStyle w:val="40"/>
        <w:tabs>
          <w:tab w:val="right" w:leader="dot" w:pos="5886"/>
        </w:tabs>
        <w:spacing w:line="360" w:lineRule="exact"/>
        <w:rPr>
          <w:rStyle w:val="52"/>
          <w:color w:val="000000"/>
          <w:kern w:val="0"/>
          <w:szCs w:val="21"/>
        </w:rPr>
      </w:pPr>
      <w:r>
        <w:fldChar w:fldCharType="begin"/>
      </w:r>
      <w:r>
        <w:instrText xml:space="preserve">HYPERLINK  \l "_bookmark32" </w:instrText>
      </w:r>
      <w:r>
        <w:fldChar w:fldCharType="separate"/>
      </w:r>
      <w:r>
        <w:rPr>
          <w:rStyle w:val="52"/>
          <w:color w:val="000000"/>
          <w:kern w:val="0"/>
          <w:szCs w:val="21"/>
        </w:rPr>
        <w:t xml:space="preserve">7.1  </w:t>
      </w:r>
      <w:r>
        <w:rPr>
          <w:rStyle w:val="52"/>
          <w:rFonts w:hint="eastAsia"/>
          <w:color w:val="000000"/>
          <w:kern w:val="0"/>
          <w:szCs w:val="21"/>
        </w:rPr>
        <w:t>一般规定</w:t>
      </w:r>
      <w:r>
        <w:rPr>
          <w:rStyle w:val="52"/>
          <w:color w:val="000000"/>
          <w:kern w:val="0"/>
          <w:szCs w:val="21"/>
        </w:rPr>
        <w:tab/>
      </w:r>
      <w:r>
        <w:fldChar w:fldCharType="end"/>
      </w:r>
      <w:r>
        <w:rPr>
          <w:color w:val="000000"/>
        </w:rPr>
        <w:t>107</w:t>
      </w:r>
    </w:p>
    <w:p>
      <w:pPr>
        <w:pStyle w:val="40"/>
        <w:tabs>
          <w:tab w:val="right" w:leader="dot" w:pos="5886"/>
        </w:tabs>
        <w:spacing w:line="360" w:lineRule="exact"/>
        <w:rPr>
          <w:rStyle w:val="52"/>
          <w:color w:val="000000"/>
          <w:kern w:val="0"/>
          <w:szCs w:val="21"/>
        </w:rPr>
      </w:pPr>
      <w:r>
        <w:fldChar w:fldCharType="begin"/>
      </w:r>
      <w:r>
        <w:instrText xml:space="preserve">HYPERLINK  \l "_bookmark33" </w:instrText>
      </w:r>
      <w:r>
        <w:fldChar w:fldCharType="separate"/>
      </w:r>
      <w:r>
        <w:rPr>
          <w:rStyle w:val="52"/>
          <w:color w:val="000000"/>
          <w:kern w:val="0"/>
          <w:szCs w:val="21"/>
        </w:rPr>
        <w:t xml:space="preserve">7.2  </w:t>
      </w:r>
      <w:r>
        <w:rPr>
          <w:rStyle w:val="52"/>
          <w:rFonts w:hint="eastAsia"/>
          <w:color w:val="000000"/>
          <w:kern w:val="0"/>
          <w:szCs w:val="21"/>
        </w:rPr>
        <w:t>加分</w:t>
      </w:r>
      <w:r>
        <w:rPr>
          <w:rStyle w:val="52"/>
          <w:color w:val="000000"/>
          <w:kern w:val="0"/>
          <w:szCs w:val="21"/>
        </w:rPr>
        <w:t>项</w:t>
      </w:r>
      <w:r>
        <w:rPr>
          <w:rStyle w:val="52"/>
          <w:color w:val="000000"/>
          <w:kern w:val="0"/>
          <w:szCs w:val="21"/>
        </w:rPr>
        <w:tab/>
      </w:r>
      <w:r>
        <w:fldChar w:fldCharType="end"/>
      </w:r>
      <w:r>
        <w:rPr>
          <w:color w:val="000000"/>
        </w:rPr>
        <w:t>108</w:t>
      </w:r>
    </w:p>
    <w:p>
      <w:pPr>
        <w:spacing w:before="100" w:beforeAutospacing="1" w:after="100" w:afterAutospacing="1" w:line="360" w:lineRule="exact"/>
        <w:jc w:val="center"/>
        <w:rPr>
          <w:b/>
          <w:color w:val="000000"/>
          <w:kern w:val="0"/>
          <w:szCs w:val="21"/>
        </w:rPr>
        <w:sectPr>
          <w:footerReference r:id="rId4" w:type="default"/>
          <w:pgSz w:w="7938" w:h="11510"/>
          <w:pgMar w:top="1247" w:right="1021" w:bottom="907" w:left="1021" w:header="851" w:footer="907" w:gutter="0"/>
          <w:pgNumType w:start="1"/>
          <w:cols w:space="720" w:num="1"/>
          <w:docGrid w:type="lines" w:linePitch="312" w:charSpace="0"/>
        </w:sectPr>
      </w:pPr>
      <w:r>
        <w:rPr>
          <w:b/>
          <w:color w:val="000000"/>
          <w:kern w:val="0"/>
          <w:szCs w:val="21"/>
        </w:rPr>
        <w:br w:type="page"/>
      </w:r>
      <w:r>
        <w:rPr>
          <w:b/>
          <w:color w:val="000000"/>
          <w:kern w:val="0"/>
          <w:szCs w:val="21"/>
        </w:rPr>
        <w:fldChar w:fldCharType="end"/>
      </w:r>
      <w:bookmarkStart w:id="4" w:name="_Toc279308590"/>
      <w:bookmarkStart w:id="5" w:name="_Toc270844141"/>
      <w:bookmarkStart w:id="6" w:name="_Toc413848004"/>
      <w:bookmarkStart w:id="7" w:name="_Toc413849564"/>
    </w:p>
    <w:p>
      <w:pPr>
        <w:spacing w:before="100" w:beforeAutospacing="1" w:after="100" w:afterAutospacing="1" w:line="360" w:lineRule="exact"/>
        <w:jc w:val="center"/>
        <w:rPr>
          <w:rFonts w:eastAsia="方正小标宋简体"/>
          <w:color w:val="000000"/>
          <w:sz w:val="28"/>
          <w:szCs w:val="20"/>
        </w:rPr>
      </w:pPr>
      <w:r>
        <w:rPr>
          <w:rFonts w:eastAsia="方正小标宋简体"/>
          <w:color w:val="000000"/>
          <w:sz w:val="28"/>
          <w:szCs w:val="20"/>
        </w:rPr>
        <w:t>1  总    则</w:t>
      </w:r>
      <w:bookmarkEnd w:id="4"/>
      <w:bookmarkEnd w:id="5"/>
      <w:bookmarkEnd w:id="6"/>
      <w:bookmarkEnd w:id="7"/>
    </w:p>
    <w:p>
      <w:pPr>
        <w:pStyle w:val="59"/>
        <w:spacing w:line="380" w:lineRule="atLeast"/>
        <w:ind w:firstLine="0" w:firstLineChars="0"/>
        <w:rPr>
          <w:color w:val="000000"/>
          <w:sz w:val="21"/>
          <w:szCs w:val="21"/>
        </w:rPr>
      </w:pPr>
      <w:r>
        <w:rPr>
          <w:b/>
          <w:bCs/>
          <w:color w:val="000000"/>
          <w:sz w:val="21"/>
          <w:szCs w:val="21"/>
        </w:rPr>
        <w:t>1.0.1</w:t>
      </w:r>
      <w:r>
        <w:rPr>
          <w:rFonts w:hint="eastAsia"/>
          <w:b/>
          <w:bCs/>
          <w:color w:val="000000"/>
          <w:sz w:val="21"/>
          <w:szCs w:val="21"/>
        </w:rPr>
        <w:t xml:space="preserve">  </w:t>
      </w:r>
      <w:r>
        <w:rPr>
          <w:rFonts w:hint="eastAsia"/>
          <w:color w:val="000000"/>
          <w:sz w:val="21"/>
          <w:szCs w:val="21"/>
        </w:rPr>
        <w:t>为了贯彻国家技术经济政策、节约资源、保护环境、规范绿色室内全装修的评价，推进建筑装饰行业可持续发展，制定本标准。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仿宋"/>
          <w:color w:val="000000"/>
          <w:sz w:val="21"/>
          <w:szCs w:val="21"/>
        </w:rPr>
      </w:pPr>
      <w:r>
        <w:rPr>
          <w:b/>
          <w:color w:val="000000"/>
          <w:sz w:val="21"/>
          <w:szCs w:val="21"/>
        </w:rPr>
        <w:t>1</w:t>
      </w:r>
      <w:r>
        <w:rPr>
          <w:rFonts w:hint="eastAsia"/>
          <w:b/>
          <w:color w:val="000000"/>
          <w:sz w:val="21"/>
          <w:szCs w:val="21"/>
        </w:rPr>
        <w:t>.</w:t>
      </w:r>
      <w:r>
        <w:rPr>
          <w:b/>
          <w:color w:val="000000"/>
          <w:sz w:val="21"/>
          <w:szCs w:val="21"/>
        </w:rPr>
        <w:t>0</w:t>
      </w:r>
      <w:r>
        <w:rPr>
          <w:rFonts w:hint="eastAsia"/>
          <w:b/>
          <w:color w:val="000000"/>
          <w:sz w:val="21"/>
          <w:szCs w:val="21"/>
        </w:rPr>
        <w:t>.1</w:t>
      </w:r>
      <w:r>
        <w:rPr>
          <w:b/>
          <w:color w:val="000000"/>
          <w:sz w:val="21"/>
          <w:szCs w:val="21"/>
        </w:rPr>
        <w:t xml:space="preserve">   </w:t>
      </w:r>
      <w:r>
        <w:rPr>
          <w:rFonts w:hint="eastAsia" w:eastAsia="仿宋"/>
          <w:color w:val="000000"/>
          <w:sz w:val="21"/>
          <w:szCs w:val="21"/>
        </w:rPr>
        <w:t>2010年到2017年，全省累计获得绿色建筑评价标识478项，累计建筑面积3944.04万平方米，标识数量和面积逐年稳步增长，均在全国排名前列。2017年1月22日，河北省建设厅印发《河北省住房和城乡建设厅关于在新建居住建筑中全面执行75%节能标准和在新建民用建筑中全面执行绿色建筑标准的通知》（冀建科[2017]3号），要求自2017年5月1日起，我省行政区域内申报施工图设计审查的新建（含改建、扩建）居住建筑，均执行75%节能标准；新建（含改建、扩建）民用建筑（含居住建筑和公共建筑），均执行绿色建筑标准。</w:t>
      </w:r>
    </w:p>
    <w:p>
      <w:pPr>
        <w:pStyle w:val="59"/>
        <w:spacing w:line="380" w:lineRule="atLeast"/>
        <w:ind w:firstLine="420"/>
        <w:rPr>
          <w:color w:val="000000"/>
          <w:sz w:val="21"/>
          <w:szCs w:val="21"/>
        </w:rPr>
      </w:pPr>
      <w:r>
        <w:rPr>
          <w:rFonts w:hint="eastAsia" w:eastAsia="仿宋"/>
          <w:color w:val="000000"/>
          <w:sz w:val="21"/>
          <w:szCs w:val="21"/>
        </w:rPr>
        <w:t>2018年11月23日，省十三届人大常委会第七次会议表决通过了《河北省促进绿色建筑发展条例》，已于2019年1月1日起施行。条例规定，绿色建筑发展要坚持统筹规划、政府推动、市场引导、全面推进、突出重点的原则。县级以上人民政府应当将绿色建筑发展纳入国民经济和社会发展规划，并作为政府目标责任考核制度的内容。住房城乡建设主管部门负责绿色建筑活动的指导和监督管理。发展改革、财政、城乡规划、自然资源等有关部门按照各自职责，共同做好绿色建筑相关工作。绿色装饰是绿色建筑最重要的核心部分之一， 不但关系到国家能源战略规划。城乡城市化是否沿着可持续发展之路发展.而且直接关系到13亿国民生命健康，以人为本的基本国策,绿色建筑装饰是中国建筑装饰行业发展的必经之路，最终归宿。借鉴国际先进经验，建立一套适合我国国情的、可量化、可操作、可实施的绿色装饰技术方法和评价体系，制定并实施统” 、规范的评价标准，促进中国建筑装饰行业升级转型和改革创新，为广大人民提供安全健康适用和高效的室内环境，降低建筑装饰行业资源和能源的消耗，减少建筑装饰行业碳排放，引导中国建筑装饰</w:t>
      </w:r>
      <w:r>
        <w:rPr>
          <w:rFonts w:eastAsia="仿宋"/>
          <w:color w:val="000000"/>
          <w:sz w:val="21"/>
          <w:szCs w:val="21"/>
        </w:rPr>
        <w:t>装修绿色化发展</w:t>
      </w:r>
      <w:r>
        <w:rPr>
          <w:rFonts w:hint="eastAsia" w:eastAsia="仿宋"/>
          <w:color w:val="000000"/>
          <w:sz w:val="21"/>
          <w:szCs w:val="21"/>
        </w:rPr>
        <w:t>。</w:t>
      </w:r>
    </w:p>
    <w:p>
      <w:pPr>
        <w:pStyle w:val="59"/>
        <w:spacing w:line="380" w:lineRule="atLeast"/>
        <w:ind w:firstLine="0" w:firstLineChars="0"/>
        <w:rPr>
          <w:color w:val="000000"/>
          <w:sz w:val="21"/>
          <w:szCs w:val="21"/>
        </w:rPr>
      </w:pPr>
      <w:r>
        <w:rPr>
          <w:b/>
          <w:bCs/>
          <w:color w:val="000000"/>
          <w:sz w:val="21"/>
          <w:szCs w:val="21"/>
        </w:rPr>
        <w:t>1.0.2</w:t>
      </w:r>
      <w:r>
        <w:rPr>
          <w:rFonts w:hint="eastAsia"/>
          <w:b/>
          <w:bCs/>
          <w:color w:val="000000"/>
          <w:sz w:val="21"/>
          <w:szCs w:val="21"/>
        </w:rPr>
        <w:t xml:space="preserve"> </w:t>
      </w:r>
      <w:r>
        <w:rPr>
          <w:color w:val="000000"/>
          <w:sz w:val="21"/>
          <w:szCs w:val="21"/>
        </w:rPr>
        <w:t xml:space="preserve"> </w:t>
      </w:r>
      <w:r>
        <w:rPr>
          <w:rFonts w:hint="eastAsia"/>
          <w:color w:val="000000"/>
          <w:sz w:val="21"/>
          <w:szCs w:val="21"/>
        </w:rPr>
        <w:t>本标准适用于河北省民用建筑室内全装修绿色性能的评价。</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仿宋"/>
          <w:color w:val="000000"/>
          <w:sz w:val="21"/>
          <w:szCs w:val="21"/>
        </w:rPr>
      </w:pPr>
      <w:r>
        <w:rPr>
          <w:b/>
          <w:color w:val="000000"/>
          <w:sz w:val="21"/>
          <w:szCs w:val="21"/>
        </w:rPr>
        <w:t>1</w:t>
      </w:r>
      <w:r>
        <w:rPr>
          <w:rFonts w:hint="eastAsia"/>
          <w:b/>
          <w:color w:val="000000"/>
          <w:sz w:val="21"/>
          <w:szCs w:val="21"/>
        </w:rPr>
        <w:t>.</w:t>
      </w:r>
      <w:r>
        <w:rPr>
          <w:b/>
          <w:color w:val="000000"/>
          <w:sz w:val="21"/>
          <w:szCs w:val="21"/>
        </w:rPr>
        <w:t>0</w:t>
      </w:r>
      <w:r>
        <w:rPr>
          <w:rFonts w:hint="eastAsia"/>
          <w:b/>
          <w:color w:val="000000"/>
          <w:sz w:val="21"/>
          <w:szCs w:val="21"/>
        </w:rPr>
        <w:t>.</w:t>
      </w:r>
      <w:r>
        <w:rPr>
          <w:b/>
          <w:color w:val="000000"/>
          <w:sz w:val="21"/>
          <w:szCs w:val="21"/>
        </w:rPr>
        <w:t>2</w:t>
      </w:r>
      <w:r>
        <w:rPr>
          <w:rFonts w:eastAsia="仿宋"/>
          <w:color w:val="000000"/>
          <w:sz w:val="21"/>
          <w:szCs w:val="21"/>
        </w:rPr>
        <w:t xml:space="preserve"> </w:t>
      </w:r>
      <w:r>
        <w:rPr>
          <w:rFonts w:hint="eastAsia" w:eastAsia="仿宋"/>
          <w:color w:val="000000"/>
          <w:sz w:val="21"/>
          <w:szCs w:val="21"/>
        </w:rPr>
        <w:t>本标准适用于新建、扩建和改建的绿色建筑室内全装修评价。</w:t>
      </w:r>
    </w:p>
    <w:p>
      <w:pPr>
        <w:pStyle w:val="59"/>
        <w:spacing w:line="380" w:lineRule="atLeast"/>
        <w:ind w:firstLine="0" w:firstLineChars="0"/>
        <w:rPr>
          <w:color w:val="000000"/>
          <w:sz w:val="21"/>
          <w:szCs w:val="21"/>
        </w:rPr>
      </w:pPr>
      <w:r>
        <w:rPr>
          <w:b/>
          <w:bCs/>
          <w:color w:val="000000"/>
          <w:sz w:val="21"/>
          <w:szCs w:val="21"/>
        </w:rPr>
        <w:t>1.0.3</w:t>
      </w:r>
      <w:r>
        <w:rPr>
          <w:color w:val="000000"/>
          <w:sz w:val="21"/>
          <w:szCs w:val="21"/>
        </w:rPr>
        <w:t xml:space="preserve">  </w:t>
      </w:r>
      <w:r>
        <w:rPr>
          <w:rFonts w:hint="eastAsia"/>
          <w:color w:val="000000"/>
          <w:sz w:val="21"/>
          <w:szCs w:val="21"/>
        </w:rPr>
        <w:t>进行绿色建筑室内全装修评价的项目，除应符合本标准的规定外，尚应符合国家和河北省现行有关标准的规定。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color w:val="000000"/>
          <w:sz w:val="21"/>
          <w:szCs w:val="21"/>
        </w:rPr>
      </w:pPr>
      <w:r>
        <w:rPr>
          <w:b/>
          <w:color w:val="000000"/>
          <w:sz w:val="21"/>
          <w:szCs w:val="21"/>
        </w:rPr>
        <w:t>1</w:t>
      </w:r>
      <w:r>
        <w:rPr>
          <w:rFonts w:hint="eastAsia"/>
          <w:b/>
          <w:color w:val="000000"/>
          <w:sz w:val="21"/>
          <w:szCs w:val="21"/>
        </w:rPr>
        <w:t>.</w:t>
      </w:r>
      <w:r>
        <w:rPr>
          <w:b/>
          <w:color w:val="000000"/>
          <w:sz w:val="21"/>
          <w:szCs w:val="21"/>
        </w:rPr>
        <w:t>0</w:t>
      </w:r>
      <w:r>
        <w:rPr>
          <w:rFonts w:hint="eastAsia"/>
          <w:b/>
          <w:color w:val="000000"/>
          <w:sz w:val="21"/>
          <w:szCs w:val="21"/>
        </w:rPr>
        <w:t>.</w:t>
      </w:r>
      <w:r>
        <w:rPr>
          <w:b/>
          <w:color w:val="000000"/>
          <w:sz w:val="21"/>
          <w:szCs w:val="21"/>
        </w:rPr>
        <w:t>3</w:t>
      </w:r>
      <w:r>
        <w:rPr>
          <w:rFonts w:hint="eastAsia" w:eastAsia="仿宋"/>
          <w:color w:val="000000"/>
          <w:sz w:val="21"/>
          <w:szCs w:val="21"/>
        </w:rPr>
        <w:t>符合国家法律法规和相关标准是参与绿色建筑室内全装修评价标准的前提条件。本标准重点在于对室内全装修项目的绿色性能进行评价，并未涵盖通常室内全装修项目所应有全部功能和性能要求，如结构安全、防火安全、艺术效果等，故参与</w:t>
      </w:r>
      <w:r>
        <w:rPr>
          <w:rFonts w:eastAsia="仿宋"/>
          <w:color w:val="000000"/>
          <w:sz w:val="21"/>
          <w:szCs w:val="21"/>
        </w:rPr>
        <w:t>评价</w:t>
      </w:r>
      <w:r>
        <w:rPr>
          <w:rFonts w:hint="eastAsia" w:eastAsia="仿宋"/>
          <w:color w:val="000000"/>
          <w:sz w:val="21"/>
          <w:szCs w:val="21"/>
        </w:rPr>
        <w:t>的</w:t>
      </w:r>
      <w:r>
        <w:rPr>
          <w:rFonts w:eastAsia="仿宋"/>
          <w:color w:val="000000"/>
          <w:sz w:val="21"/>
          <w:szCs w:val="21"/>
        </w:rPr>
        <w:t>室内</w:t>
      </w:r>
      <w:r>
        <w:rPr>
          <w:rFonts w:hint="eastAsia" w:eastAsia="仿宋"/>
          <w:color w:val="000000"/>
          <w:sz w:val="21"/>
          <w:szCs w:val="21"/>
        </w:rPr>
        <w:t>全装修项目尚应符合国家现行有关标准的规定。绿色建筑室内全装修项目评价工作也应符合国家现行有关</w:t>
      </w:r>
      <w:r>
        <w:rPr>
          <w:rFonts w:eastAsia="仿宋"/>
          <w:color w:val="000000"/>
          <w:sz w:val="21"/>
          <w:szCs w:val="21"/>
        </w:rPr>
        <w:t>标准</w:t>
      </w:r>
      <w:r>
        <w:rPr>
          <w:rFonts w:hint="eastAsia" w:eastAsia="仿宋"/>
          <w:color w:val="000000"/>
          <w:sz w:val="21"/>
          <w:szCs w:val="21"/>
        </w:rPr>
        <w:t>的规定。</w:t>
      </w:r>
    </w:p>
    <w:p>
      <w:pPr>
        <w:spacing w:before="100" w:beforeAutospacing="1" w:after="100" w:afterAutospacing="1" w:line="380" w:lineRule="exact"/>
        <w:jc w:val="center"/>
        <w:outlineLvl w:val="0"/>
        <w:rPr>
          <w:rFonts w:eastAsia="方正小标宋简体"/>
          <w:color w:val="000000"/>
          <w:kern w:val="0"/>
          <w:szCs w:val="21"/>
        </w:rPr>
      </w:pPr>
      <w:r>
        <w:rPr>
          <w:color w:val="000000"/>
        </w:rPr>
        <w:br w:type="page"/>
      </w:r>
      <w:bookmarkStart w:id="8" w:name="_Toc413848005"/>
      <w:bookmarkStart w:id="9" w:name="_Toc413849565"/>
      <w:bookmarkStart w:id="10" w:name="_Toc413850332"/>
      <w:bookmarkStart w:id="11" w:name="_Toc433209279"/>
      <w:bookmarkStart w:id="12" w:name="_Toc270844142"/>
      <w:bookmarkStart w:id="13" w:name="_Toc279308591"/>
      <w:r>
        <w:rPr>
          <w:rFonts w:eastAsia="方正小标宋简体"/>
          <w:color w:val="000000"/>
          <w:sz w:val="28"/>
          <w:szCs w:val="20"/>
        </w:rPr>
        <w:t>2</w:t>
      </w:r>
      <w:r>
        <w:rPr>
          <w:rFonts w:hint="eastAsia" w:eastAsia="方正小标宋简体"/>
          <w:color w:val="000000"/>
          <w:sz w:val="28"/>
          <w:szCs w:val="20"/>
        </w:rPr>
        <w:t xml:space="preserve">  </w:t>
      </w:r>
      <w:r>
        <w:rPr>
          <w:rFonts w:eastAsia="方正小标宋简体"/>
          <w:color w:val="000000"/>
          <w:sz w:val="28"/>
          <w:szCs w:val="20"/>
        </w:rPr>
        <w:t>术    语</w:t>
      </w:r>
      <w:bookmarkEnd w:id="8"/>
      <w:bookmarkEnd w:id="9"/>
      <w:bookmarkEnd w:id="10"/>
      <w:bookmarkEnd w:id="11"/>
      <w:bookmarkEnd w:id="12"/>
      <w:bookmarkEnd w:id="13"/>
    </w:p>
    <w:p>
      <w:pPr>
        <w:pStyle w:val="59"/>
        <w:spacing w:line="380" w:lineRule="atLeast"/>
        <w:ind w:firstLine="0" w:firstLineChars="0"/>
        <w:rPr>
          <w:color w:val="000000"/>
          <w:sz w:val="21"/>
          <w:szCs w:val="21"/>
        </w:rPr>
      </w:pPr>
      <w:bookmarkStart w:id="14" w:name="_Toc413848006"/>
      <w:bookmarkStart w:id="15" w:name="_Toc413849566"/>
      <w:bookmarkStart w:id="16" w:name="_Toc413850333"/>
      <w:r>
        <w:rPr>
          <w:b/>
          <w:bCs/>
          <w:color w:val="000000"/>
          <w:sz w:val="21"/>
          <w:szCs w:val="21"/>
        </w:rPr>
        <w:t>2.0.1</w:t>
      </w:r>
      <w:r>
        <w:rPr>
          <w:rFonts w:hint="eastAsia"/>
          <w:b/>
          <w:bCs/>
          <w:color w:val="000000"/>
          <w:sz w:val="21"/>
          <w:szCs w:val="21"/>
        </w:rPr>
        <w:t xml:space="preserve"> </w:t>
      </w:r>
      <w:r>
        <w:rPr>
          <w:color w:val="000000"/>
          <w:sz w:val="21"/>
          <w:szCs w:val="21"/>
        </w:rPr>
        <w:t>全装修 decorated</w:t>
      </w:r>
    </w:p>
    <w:p>
      <w:pPr>
        <w:spacing w:line="380" w:lineRule="atLeast"/>
        <w:ind w:firstLine="420" w:firstLineChars="200"/>
        <w:rPr>
          <w:color w:val="000000"/>
          <w:szCs w:val="20"/>
        </w:rPr>
      </w:pPr>
      <w:r>
        <w:rPr>
          <w:rFonts w:hint="eastAsia"/>
          <w:color w:val="000000"/>
          <w:szCs w:val="20"/>
        </w:rPr>
        <w:t>在交付前，建筑内部墙面、顶面、地面全部铺贴、粉刷完成，门窗、固定家具、设备管线、开关插座及厨房、卫生间固定设施安装到位；公共建筑公共区域的固定面全部铺贴、粉刷完成，水、暖、电、通风等基本设备全部安装到位。</w:t>
      </w:r>
    </w:p>
    <w:p>
      <w:pPr>
        <w:pStyle w:val="59"/>
        <w:spacing w:line="380" w:lineRule="atLeast"/>
        <w:ind w:firstLine="0" w:firstLineChars="0"/>
        <w:rPr>
          <w:color w:val="000000"/>
          <w:sz w:val="21"/>
          <w:szCs w:val="21"/>
        </w:rPr>
      </w:pPr>
      <w:r>
        <w:rPr>
          <w:b/>
          <w:bCs/>
          <w:color w:val="000000"/>
          <w:sz w:val="21"/>
          <w:szCs w:val="21"/>
        </w:rPr>
        <w:t>2.0.2</w:t>
      </w:r>
      <w:r>
        <w:rPr>
          <w:rFonts w:hint="eastAsia"/>
          <w:b/>
          <w:bCs/>
          <w:color w:val="000000"/>
          <w:sz w:val="21"/>
          <w:szCs w:val="21"/>
        </w:rPr>
        <w:t xml:space="preserve">  </w:t>
      </w:r>
      <w:r>
        <w:rPr>
          <w:color w:val="000000"/>
          <w:sz w:val="21"/>
          <w:szCs w:val="21"/>
        </w:rPr>
        <w:t>绿色建材 green building material</w:t>
      </w:r>
    </w:p>
    <w:p>
      <w:pPr>
        <w:spacing w:line="380" w:lineRule="atLeast"/>
        <w:ind w:firstLine="420" w:firstLineChars="200"/>
        <w:rPr>
          <w:color w:val="000000"/>
          <w:szCs w:val="20"/>
        </w:rPr>
      </w:pPr>
      <w:r>
        <w:rPr>
          <w:rFonts w:hint="eastAsia"/>
          <w:color w:val="000000"/>
          <w:szCs w:val="20"/>
        </w:rPr>
        <w:t>在全寿命期内可减少对资源的消耗、减轻对生态环境的影响，具有节能、减排、安全、健康、便利和可循环特征的建材产品。</w:t>
      </w:r>
    </w:p>
    <w:bookmarkEnd w:id="14"/>
    <w:bookmarkEnd w:id="15"/>
    <w:bookmarkEnd w:id="16"/>
    <w:p>
      <w:pPr>
        <w:pStyle w:val="59"/>
        <w:spacing w:line="380" w:lineRule="atLeast"/>
        <w:ind w:firstLine="0" w:firstLineChars="0"/>
        <w:rPr>
          <w:color w:val="000000"/>
          <w:sz w:val="21"/>
          <w:szCs w:val="21"/>
        </w:rPr>
      </w:pPr>
      <w:r>
        <w:rPr>
          <w:b/>
          <w:bCs/>
          <w:color w:val="000000"/>
          <w:sz w:val="21"/>
          <w:szCs w:val="21"/>
        </w:rPr>
        <w:t>2.0.3</w:t>
      </w:r>
      <w:r>
        <w:rPr>
          <w:rFonts w:hint="eastAsia"/>
          <w:b/>
          <w:bCs/>
          <w:color w:val="000000"/>
          <w:sz w:val="21"/>
          <w:szCs w:val="21"/>
        </w:rPr>
        <w:t xml:space="preserve">  </w:t>
      </w:r>
      <w:r>
        <w:rPr>
          <w:rFonts w:hint="eastAsia"/>
          <w:color w:val="000000"/>
          <w:sz w:val="21"/>
          <w:szCs w:val="21"/>
        </w:rPr>
        <w:t>装配式装修</w:t>
      </w:r>
      <w:r>
        <w:rPr>
          <w:color w:val="000000"/>
          <w:sz w:val="21"/>
          <w:szCs w:val="21"/>
        </w:rPr>
        <w:t xml:space="preserve"> prefabricated decoration</w:t>
      </w:r>
    </w:p>
    <w:p>
      <w:pPr>
        <w:spacing w:line="380" w:lineRule="atLeast"/>
        <w:ind w:firstLine="420" w:firstLineChars="200"/>
        <w:rPr>
          <w:color w:val="000000"/>
          <w:szCs w:val="20"/>
        </w:rPr>
      </w:pPr>
      <w:r>
        <w:rPr>
          <w:rFonts w:hint="eastAsia"/>
          <w:color w:val="000000"/>
          <w:szCs w:val="20"/>
        </w:rPr>
        <w:t>将工厂生产的部品部件在现场进行组合安装的装修方式，主要包括干式工法楼（地）面、集成厨房、集成卫生间、管线与结构分离等。</w:t>
      </w:r>
    </w:p>
    <w:p>
      <w:pPr>
        <w:pStyle w:val="59"/>
        <w:spacing w:line="380" w:lineRule="atLeast"/>
        <w:ind w:firstLine="0" w:firstLineChars="0"/>
        <w:rPr>
          <w:color w:val="000000"/>
          <w:sz w:val="21"/>
          <w:szCs w:val="21"/>
        </w:rPr>
      </w:pPr>
    </w:p>
    <w:p>
      <w:pPr>
        <w:pageBreakBefore/>
        <w:spacing w:before="100" w:beforeAutospacing="1" w:after="156" w:afterLines="50" w:line="360" w:lineRule="atLeast"/>
        <w:jc w:val="center"/>
        <w:outlineLvl w:val="0"/>
        <w:rPr>
          <w:rFonts w:eastAsia="方正小标宋简体"/>
          <w:color w:val="000000"/>
          <w:kern w:val="0"/>
          <w:sz w:val="24"/>
        </w:rPr>
      </w:pPr>
      <w:bookmarkStart w:id="17" w:name="_Toc413850341"/>
      <w:bookmarkStart w:id="18" w:name="_Toc270844143"/>
      <w:bookmarkStart w:id="19" w:name="_Toc413848014"/>
      <w:bookmarkStart w:id="20" w:name="_Toc279308592"/>
      <w:bookmarkStart w:id="21" w:name="_Toc433209280"/>
      <w:bookmarkStart w:id="22" w:name="_Toc413849574"/>
      <w:r>
        <w:rPr>
          <w:rFonts w:eastAsia="方正小标宋简体"/>
          <w:color w:val="000000"/>
          <w:sz w:val="28"/>
          <w:szCs w:val="20"/>
        </w:rPr>
        <w:t>3  基本规定</w:t>
      </w:r>
      <w:bookmarkEnd w:id="17"/>
      <w:bookmarkEnd w:id="18"/>
      <w:bookmarkEnd w:id="19"/>
      <w:bookmarkEnd w:id="20"/>
      <w:bookmarkEnd w:id="21"/>
      <w:bookmarkEnd w:id="22"/>
    </w:p>
    <w:p>
      <w:pPr>
        <w:spacing w:before="100" w:beforeAutospacing="1" w:after="100" w:afterAutospacing="1" w:line="360" w:lineRule="atLeast"/>
        <w:jc w:val="center"/>
        <w:outlineLvl w:val="0"/>
        <w:rPr>
          <w:rFonts w:eastAsia="黑体"/>
          <w:color w:val="000000"/>
          <w:szCs w:val="21"/>
        </w:rPr>
      </w:pPr>
      <w:bookmarkStart w:id="23" w:name="_Toc270844144"/>
      <w:bookmarkStart w:id="24" w:name="_Toc279308593"/>
      <w:bookmarkStart w:id="25" w:name="_Toc413848015"/>
      <w:bookmarkStart w:id="26" w:name="_Toc413849575"/>
      <w:bookmarkStart w:id="27" w:name="_Toc433209281"/>
      <w:bookmarkStart w:id="28" w:name="_Toc413850342"/>
      <w:r>
        <w:rPr>
          <w:rFonts w:eastAsia="黑体"/>
          <w:b/>
          <w:color w:val="000000"/>
          <w:szCs w:val="21"/>
        </w:rPr>
        <w:t>3.1</w:t>
      </w:r>
      <w:r>
        <w:rPr>
          <w:rFonts w:eastAsia="黑体"/>
          <w:color w:val="000000"/>
          <w:szCs w:val="21"/>
        </w:rPr>
        <w:t xml:space="preserve">  </w:t>
      </w:r>
      <w:bookmarkEnd w:id="23"/>
      <w:bookmarkEnd w:id="24"/>
      <w:r>
        <w:rPr>
          <w:rFonts w:eastAsia="黑体"/>
          <w:color w:val="000000"/>
          <w:szCs w:val="21"/>
        </w:rPr>
        <w:t>一般规定</w:t>
      </w:r>
      <w:bookmarkEnd w:id="25"/>
      <w:bookmarkEnd w:id="26"/>
      <w:bookmarkEnd w:id="27"/>
      <w:bookmarkEnd w:id="28"/>
    </w:p>
    <w:p>
      <w:pPr>
        <w:adjustRightInd w:val="0"/>
        <w:spacing w:line="360" w:lineRule="atLeast"/>
        <w:outlineLvl w:val="2"/>
        <w:rPr>
          <w:color w:val="000000"/>
          <w:szCs w:val="20"/>
        </w:rPr>
      </w:pPr>
      <w:bookmarkStart w:id="29" w:name="_Toc413849576"/>
      <w:bookmarkStart w:id="30" w:name="_Toc413848016"/>
      <w:bookmarkStart w:id="31" w:name="_Toc413850343"/>
      <w:r>
        <w:rPr>
          <w:b/>
          <w:bCs/>
          <w:color w:val="000000"/>
          <w:szCs w:val="21"/>
        </w:rPr>
        <w:t>3.1.1</w:t>
      </w:r>
      <w:r>
        <w:rPr>
          <w:rFonts w:hint="eastAsia"/>
          <w:b/>
          <w:bCs/>
          <w:color w:val="000000"/>
          <w:szCs w:val="21"/>
        </w:rPr>
        <w:t xml:space="preserve">  </w:t>
      </w:r>
      <w:r>
        <w:rPr>
          <w:rFonts w:hint="eastAsia"/>
          <w:color w:val="000000"/>
          <w:szCs w:val="20"/>
        </w:rPr>
        <w:t>本标准适用于民用建筑室内全装修工程项目，申报评价范围为建筑室内空间。</w:t>
      </w:r>
    </w:p>
    <w:p>
      <w:pPr>
        <w:spacing w:line="380" w:lineRule="atLeast"/>
        <w:rPr>
          <w:rFonts w:eastAsia="仿宋"/>
          <w:color w:val="000000"/>
          <w:szCs w:val="21"/>
        </w:rPr>
      </w:pPr>
      <w:r>
        <w:rPr>
          <w:b/>
          <w:color w:val="000000"/>
          <w:szCs w:val="21"/>
        </w:rPr>
        <w:t>3.1.1</w:t>
      </w:r>
      <w:r>
        <w:rPr>
          <w:rFonts w:hint="eastAsia" w:eastAsia="仿宋"/>
          <w:color w:val="000000"/>
          <w:szCs w:val="21"/>
        </w:rPr>
        <w:t>绿色室内装饰装修评价的申报参评项目是栋完整建筑的室内装饰装修或者是建筑局部区城的室内装饰装修，但要求具有相对独立完整平面空间、完整单元、完整层或完整多层区域.并有相对独立的暖通空调末端系统.相对独立的给排水末端系统、相对独立的电气照明末端系统。但有些评价指标难以仅基于建筑局部进行评价，如室内噪声级、室内自然通风换气次数等，此时.应借用整栋建筑物的系统性、整体性指标进行总体评价，评价计算区域的边界应选择合理、口径一致，能够完整围合。</w:t>
      </w:r>
    </w:p>
    <w:p>
      <w:pPr>
        <w:spacing w:line="380" w:lineRule="atLeast"/>
        <w:rPr>
          <w:color w:val="000000"/>
          <w:szCs w:val="20"/>
        </w:rPr>
      </w:pPr>
      <w:r>
        <w:rPr>
          <w:rFonts w:hint="eastAsia"/>
          <w:b/>
          <w:bCs/>
          <w:color w:val="000000"/>
          <w:szCs w:val="21"/>
        </w:rPr>
        <w:t>3.1.2</w:t>
      </w:r>
      <w:r>
        <w:rPr>
          <w:b/>
          <w:bCs/>
          <w:color w:val="000000"/>
          <w:szCs w:val="21"/>
        </w:rPr>
        <w:t xml:space="preserve">  </w:t>
      </w:r>
      <w:r>
        <w:rPr>
          <w:rFonts w:hint="eastAsia"/>
          <w:color w:val="000000"/>
          <w:szCs w:val="20"/>
        </w:rPr>
        <w:t>装修工程不得影响建筑物的结构和消防等的安全性能。</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spacing w:line="380" w:lineRule="atLeast"/>
        <w:rPr>
          <w:rFonts w:eastAsia="仿宋"/>
          <w:color w:val="000000"/>
          <w:szCs w:val="21"/>
        </w:rPr>
      </w:pPr>
      <w:r>
        <w:rPr>
          <w:b/>
          <w:color w:val="000000"/>
          <w:szCs w:val="21"/>
        </w:rPr>
        <w:t>3.1.2</w:t>
      </w:r>
      <w:r>
        <w:rPr>
          <w:rFonts w:hint="eastAsia" w:eastAsia="仿宋"/>
          <w:color w:val="000000"/>
          <w:szCs w:val="21"/>
        </w:rPr>
        <w:t>本条强调在进行装修改造时，不得影响建筑安全。住宅装修时，很可能出现住宅功能空间布局及设施设备的改造，从而引起装修中的大量拆改，本条要求在进行装修时严禁拆除结构墙体、窗下墙；严禁随意在结构墙体上开洞；严禁擅自拆改水、暖、电、燃气、通信等配套设施。装修设计及施工，不得影响原建筑设计的消防疏散宽度，不得遮挡防火疏散门或更改疏散门的开启方向，不得遮挡或影响疏散标识及不得有其他影响消防安全的行为。装饰装修材料及施工工艺应全部满足《建筑内部装修设计防火规范》GB50222的要求。</w:t>
      </w:r>
    </w:p>
    <w:p>
      <w:pPr>
        <w:spacing w:line="380" w:lineRule="atLeast"/>
        <w:rPr>
          <w:color w:val="000000"/>
          <w:szCs w:val="20"/>
        </w:rPr>
      </w:pPr>
      <w:r>
        <w:rPr>
          <w:rFonts w:hint="eastAsia"/>
          <w:b/>
          <w:bCs/>
          <w:color w:val="000000"/>
          <w:szCs w:val="21"/>
        </w:rPr>
        <w:t>3.1.</w:t>
      </w:r>
      <w:r>
        <w:rPr>
          <w:b/>
          <w:bCs/>
          <w:color w:val="000000"/>
          <w:szCs w:val="21"/>
        </w:rPr>
        <w:t xml:space="preserve">3  </w:t>
      </w:r>
      <w:r>
        <w:rPr>
          <w:rFonts w:hint="eastAsia"/>
          <w:color w:val="000000"/>
          <w:szCs w:val="20"/>
        </w:rPr>
        <w:t>绿色建筑全装修设计应与土建设计、机电设计一体化进行。</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spacing w:line="380" w:lineRule="atLeast"/>
        <w:rPr>
          <w:rFonts w:eastAsia="仿宋"/>
          <w:color w:val="000000"/>
          <w:szCs w:val="21"/>
        </w:rPr>
      </w:pPr>
      <w:r>
        <w:rPr>
          <w:b/>
          <w:color w:val="000000"/>
          <w:szCs w:val="21"/>
        </w:rPr>
        <w:t>3.1.3</w:t>
      </w:r>
      <w:r>
        <w:rPr>
          <w:rFonts w:hint="eastAsia" w:eastAsia="仿宋"/>
          <w:color w:val="000000"/>
          <w:szCs w:val="21"/>
        </w:rPr>
        <w:t>本条强调绿色</w:t>
      </w:r>
      <w:r>
        <w:rPr>
          <w:rFonts w:eastAsia="仿宋"/>
          <w:color w:val="000000"/>
          <w:szCs w:val="21"/>
        </w:rPr>
        <w:t>建筑</w:t>
      </w:r>
      <w:r>
        <w:rPr>
          <w:rFonts w:hint="eastAsia" w:eastAsia="仿宋"/>
          <w:color w:val="000000"/>
          <w:szCs w:val="21"/>
        </w:rPr>
        <w:t>全装修设计应从建筑设计阶段介入，与建筑设计各专业充分协调与综合，贯彻建筑装修一体化的设计理念。评价时需提供参评建筑各专业施工图及装修各专业施工图。</w:t>
      </w:r>
    </w:p>
    <w:p>
      <w:pPr>
        <w:spacing w:line="380" w:lineRule="atLeast"/>
        <w:rPr>
          <w:color w:val="000000"/>
          <w:szCs w:val="20"/>
        </w:rPr>
      </w:pPr>
      <w:r>
        <w:rPr>
          <w:b/>
          <w:bCs/>
          <w:color w:val="000000"/>
          <w:szCs w:val="21"/>
        </w:rPr>
        <w:t>3.1.4</w:t>
      </w:r>
      <w:r>
        <w:rPr>
          <w:rFonts w:hint="eastAsia"/>
          <w:b/>
          <w:bCs/>
          <w:color w:val="000000"/>
          <w:szCs w:val="21"/>
        </w:rPr>
        <w:t xml:space="preserve"> </w:t>
      </w:r>
      <w:r>
        <w:rPr>
          <w:color w:val="000000"/>
          <w:szCs w:val="20"/>
        </w:rPr>
        <w:t xml:space="preserve"> </w:t>
      </w:r>
      <w:r>
        <w:rPr>
          <w:rFonts w:hint="eastAsia"/>
          <w:color w:val="000000"/>
          <w:szCs w:val="20"/>
        </w:rPr>
        <w:t>绿色建筑室内</w:t>
      </w:r>
      <w:r>
        <w:rPr>
          <w:color w:val="000000"/>
          <w:szCs w:val="20"/>
        </w:rPr>
        <w:t>全装修</w:t>
      </w:r>
      <w:r>
        <w:rPr>
          <w:rFonts w:hint="eastAsia"/>
          <w:color w:val="000000"/>
          <w:szCs w:val="20"/>
        </w:rPr>
        <w:t>的评价分为预评价和评价。预评价应在装修设计</w:t>
      </w:r>
      <w:r>
        <w:rPr>
          <w:color w:val="000000"/>
          <w:szCs w:val="20"/>
        </w:rPr>
        <w:t>文件完成</w:t>
      </w:r>
      <w:r>
        <w:rPr>
          <w:rFonts w:hint="eastAsia"/>
          <w:color w:val="000000"/>
          <w:szCs w:val="20"/>
        </w:rPr>
        <w:t>后进行，评价应在全装修竣工验收后进行。</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spacing w:line="380" w:lineRule="atLeast"/>
        <w:rPr>
          <w:rFonts w:eastAsia="仿宋"/>
          <w:color w:val="000000"/>
          <w:szCs w:val="21"/>
        </w:rPr>
      </w:pPr>
      <w:r>
        <w:rPr>
          <w:b/>
          <w:color w:val="000000"/>
          <w:szCs w:val="21"/>
        </w:rPr>
        <w:t>3.1.4</w:t>
      </w:r>
      <w:r>
        <w:rPr>
          <w:rFonts w:hint="eastAsia" w:eastAsia="仿宋"/>
          <w:color w:val="000000"/>
          <w:szCs w:val="21"/>
        </w:rPr>
        <w:t>无</w:t>
      </w:r>
    </w:p>
    <w:p>
      <w:pPr>
        <w:spacing w:line="380" w:lineRule="atLeast"/>
        <w:rPr>
          <w:color w:val="000000"/>
          <w:szCs w:val="20"/>
        </w:rPr>
      </w:pPr>
      <w:r>
        <w:rPr>
          <w:b/>
          <w:bCs/>
          <w:color w:val="000000"/>
          <w:szCs w:val="21"/>
        </w:rPr>
        <w:t>3.1.5</w:t>
      </w:r>
      <w:r>
        <w:rPr>
          <w:rFonts w:hint="eastAsia"/>
          <w:b/>
          <w:bCs/>
          <w:color w:val="000000"/>
          <w:szCs w:val="21"/>
        </w:rPr>
        <w:t xml:space="preserve"> </w:t>
      </w:r>
      <w:r>
        <w:rPr>
          <w:color w:val="000000"/>
          <w:szCs w:val="20"/>
        </w:rPr>
        <w:t xml:space="preserve"> </w:t>
      </w:r>
      <w:r>
        <w:rPr>
          <w:rFonts w:hint="eastAsia"/>
          <w:color w:val="000000"/>
          <w:szCs w:val="20"/>
        </w:rPr>
        <w:t>评价机构</w:t>
      </w:r>
      <w:r>
        <w:rPr>
          <w:color w:val="000000"/>
          <w:szCs w:val="20"/>
        </w:rPr>
        <w:t>应对申请评价方提交的分析、测试报告和相关文件进行审查，出具评价报告，确定等级；必要时应组织进行现场核查</w:t>
      </w:r>
      <w:r>
        <w:rPr>
          <w:rFonts w:hint="eastAsia"/>
          <w:color w:val="000000"/>
          <w:szCs w:val="20"/>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spacing w:line="380" w:lineRule="atLeast"/>
        <w:rPr>
          <w:rFonts w:eastAsia="仿宋"/>
          <w:color w:val="000000"/>
          <w:szCs w:val="21"/>
        </w:rPr>
      </w:pPr>
      <w:r>
        <w:rPr>
          <w:b/>
          <w:color w:val="000000"/>
          <w:szCs w:val="21"/>
        </w:rPr>
        <w:t>3.1.5</w:t>
      </w:r>
      <w:r>
        <w:rPr>
          <w:rFonts w:hint="eastAsia" w:eastAsia="仿宋"/>
          <w:color w:val="000000"/>
          <w:szCs w:val="21"/>
        </w:rPr>
        <w:t>绿色建筑室内</w:t>
      </w:r>
      <w:r>
        <w:rPr>
          <w:rFonts w:eastAsia="仿宋"/>
          <w:color w:val="000000"/>
          <w:szCs w:val="21"/>
        </w:rPr>
        <w:t>全装修</w:t>
      </w:r>
      <w:r>
        <w:rPr>
          <w:rFonts w:hint="eastAsia" w:eastAsia="仿宋"/>
          <w:color w:val="000000"/>
          <w:szCs w:val="21"/>
        </w:rPr>
        <w:t>评价机构依据有关管理制度文件确定。本条对评价机构的相关工作提出要求。评价机构应按照本标准的有关要求审查申请评价方提交的报告、文档，并在评价报告中确定等级，评价机构还应根据具体项目情况，必要时应组织现场核查，进一步审核规划设计要求的落实情况、实际性能和使用效果。</w:t>
      </w:r>
    </w:p>
    <w:bookmarkEnd w:id="29"/>
    <w:bookmarkEnd w:id="30"/>
    <w:bookmarkEnd w:id="31"/>
    <w:p>
      <w:pPr>
        <w:spacing w:before="100" w:beforeAutospacing="1" w:after="100" w:afterAutospacing="1" w:line="360" w:lineRule="atLeast"/>
        <w:jc w:val="center"/>
        <w:outlineLvl w:val="0"/>
        <w:rPr>
          <w:rFonts w:eastAsia="黑体"/>
          <w:color w:val="000000"/>
          <w:szCs w:val="21"/>
        </w:rPr>
      </w:pPr>
      <w:bookmarkStart w:id="32" w:name="_Toc279308594"/>
      <w:bookmarkStart w:id="33" w:name="_Toc413848020"/>
      <w:bookmarkStart w:id="34" w:name="_Toc413849580"/>
      <w:bookmarkStart w:id="35" w:name="_Toc270844145"/>
      <w:bookmarkStart w:id="36" w:name="_Toc413850347"/>
      <w:bookmarkStart w:id="37" w:name="_Toc433209282"/>
      <w:r>
        <w:rPr>
          <w:rFonts w:eastAsia="黑体"/>
          <w:b/>
          <w:color w:val="000000"/>
          <w:szCs w:val="21"/>
        </w:rPr>
        <w:t>3.2</w:t>
      </w:r>
      <w:r>
        <w:rPr>
          <w:rFonts w:eastAsia="黑体"/>
          <w:color w:val="000000"/>
          <w:szCs w:val="21"/>
        </w:rPr>
        <w:t xml:space="preserve">  评价与等级划分</w:t>
      </w:r>
      <w:bookmarkEnd w:id="32"/>
      <w:bookmarkEnd w:id="33"/>
      <w:bookmarkEnd w:id="34"/>
      <w:bookmarkEnd w:id="35"/>
      <w:bookmarkEnd w:id="36"/>
      <w:bookmarkEnd w:id="37"/>
    </w:p>
    <w:p>
      <w:pPr>
        <w:widowControl/>
        <w:spacing w:line="360" w:lineRule="atLeast"/>
        <w:rPr>
          <w:color w:val="000000"/>
          <w:szCs w:val="20"/>
        </w:rPr>
      </w:pPr>
      <w:r>
        <w:rPr>
          <w:b/>
          <w:bCs/>
          <w:color w:val="000000"/>
          <w:szCs w:val="21"/>
        </w:rPr>
        <w:t>3.2.1</w:t>
      </w:r>
      <w:r>
        <w:rPr>
          <w:rFonts w:hint="eastAsia"/>
          <w:b/>
          <w:bCs/>
          <w:color w:val="000000"/>
          <w:szCs w:val="21"/>
        </w:rPr>
        <w:t xml:space="preserve">  </w:t>
      </w:r>
      <w:r>
        <w:rPr>
          <w:rFonts w:hint="eastAsia"/>
          <w:color w:val="000000"/>
          <w:szCs w:val="20"/>
        </w:rPr>
        <w:t>绿色室内全装修评价</w:t>
      </w:r>
      <w:r>
        <w:rPr>
          <w:color w:val="000000"/>
          <w:szCs w:val="20"/>
        </w:rPr>
        <w:t>指标体系</w:t>
      </w:r>
      <w:r>
        <w:rPr>
          <w:rFonts w:hint="eastAsia"/>
          <w:color w:val="000000"/>
          <w:szCs w:val="20"/>
        </w:rPr>
        <w:t>由设计、材料与</w:t>
      </w:r>
      <w:r>
        <w:rPr>
          <w:color w:val="000000"/>
          <w:szCs w:val="20"/>
        </w:rPr>
        <w:t>部品</w:t>
      </w:r>
      <w:r>
        <w:rPr>
          <w:rFonts w:hint="eastAsia"/>
          <w:color w:val="000000"/>
          <w:szCs w:val="20"/>
        </w:rPr>
        <w:t>、施工及验收3类</w:t>
      </w:r>
      <w:r>
        <w:rPr>
          <w:color w:val="000000"/>
          <w:szCs w:val="20"/>
        </w:rPr>
        <w:t>指标组成</w:t>
      </w:r>
      <w:r>
        <w:rPr>
          <w:rFonts w:hint="eastAsia"/>
          <w:color w:val="000000"/>
          <w:szCs w:val="20"/>
        </w:rPr>
        <w:t>。且每类</w:t>
      </w:r>
      <w:r>
        <w:rPr>
          <w:color w:val="000000"/>
          <w:szCs w:val="20"/>
        </w:rPr>
        <w:t>指标均包括控制项和评分项。评价</w:t>
      </w:r>
      <w:r>
        <w:rPr>
          <w:rFonts w:hint="eastAsia"/>
          <w:color w:val="000000"/>
          <w:szCs w:val="20"/>
        </w:rPr>
        <w:t>指标</w:t>
      </w:r>
      <w:r>
        <w:rPr>
          <w:color w:val="000000"/>
          <w:szCs w:val="20"/>
        </w:rPr>
        <w:t>体系还统一设置加分项</w:t>
      </w:r>
      <w:r>
        <w:rPr>
          <w:rFonts w:hint="eastAsia"/>
          <w:color w:val="000000"/>
          <w:szCs w:val="20"/>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b/>
          <w:color w:val="000000"/>
          <w:szCs w:val="21"/>
        </w:rPr>
        <w:t>3.2.1</w:t>
      </w:r>
      <w:r>
        <w:rPr>
          <w:rFonts w:hint="eastAsia" w:eastAsia="仿宋"/>
          <w:color w:val="000000"/>
          <w:szCs w:val="21"/>
        </w:rPr>
        <w:t>无</w:t>
      </w:r>
    </w:p>
    <w:p>
      <w:pPr>
        <w:widowControl/>
        <w:spacing w:line="360" w:lineRule="atLeast"/>
        <w:rPr>
          <w:color w:val="000000"/>
          <w:szCs w:val="20"/>
        </w:rPr>
      </w:pPr>
      <w:r>
        <w:rPr>
          <w:b/>
          <w:bCs/>
          <w:color w:val="000000"/>
          <w:szCs w:val="21"/>
        </w:rPr>
        <w:t>3.2.2</w:t>
      </w:r>
      <w:r>
        <w:rPr>
          <w:rFonts w:hint="eastAsia"/>
          <w:b/>
          <w:bCs/>
          <w:color w:val="000000"/>
          <w:szCs w:val="21"/>
        </w:rPr>
        <w:t xml:space="preserve">  </w:t>
      </w:r>
      <w:r>
        <w:rPr>
          <w:rFonts w:hint="eastAsia"/>
          <w:color w:val="000000"/>
          <w:szCs w:val="20"/>
        </w:rPr>
        <w:t>预评价时</w:t>
      </w:r>
      <w:r>
        <w:rPr>
          <w:color w:val="000000"/>
          <w:szCs w:val="20"/>
        </w:rPr>
        <w:t>，不对施工与验收指标进行评价。评价</w:t>
      </w:r>
      <w:r>
        <w:rPr>
          <w:rFonts w:hint="eastAsia"/>
          <w:color w:val="000000"/>
          <w:szCs w:val="20"/>
        </w:rPr>
        <w:t>时</w:t>
      </w:r>
      <w:r>
        <w:rPr>
          <w:color w:val="000000"/>
          <w:szCs w:val="20"/>
        </w:rPr>
        <w:t>包括</w:t>
      </w:r>
      <w:r>
        <w:rPr>
          <w:rFonts w:hint="eastAsia"/>
          <w:color w:val="000000"/>
          <w:szCs w:val="20"/>
        </w:rPr>
        <w:t>3类指标。</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color w:val="000000"/>
          <w:szCs w:val="20"/>
        </w:rPr>
      </w:pPr>
      <w:r>
        <w:rPr>
          <w:b/>
          <w:color w:val="000000"/>
          <w:szCs w:val="21"/>
        </w:rPr>
        <w:t>3.2.2</w:t>
      </w:r>
      <w:r>
        <w:rPr>
          <w:rFonts w:hint="eastAsia" w:eastAsia="仿宋"/>
          <w:color w:val="000000"/>
          <w:szCs w:val="21"/>
        </w:rPr>
        <w:t>无</w:t>
      </w:r>
    </w:p>
    <w:p>
      <w:pPr>
        <w:widowControl/>
        <w:spacing w:line="360" w:lineRule="atLeast"/>
        <w:rPr>
          <w:color w:val="000000"/>
          <w:szCs w:val="20"/>
        </w:rPr>
      </w:pPr>
      <w:r>
        <w:rPr>
          <w:b/>
          <w:bCs/>
          <w:color w:val="000000"/>
          <w:szCs w:val="21"/>
        </w:rPr>
        <w:t>3.2.3</w:t>
      </w:r>
      <w:r>
        <w:rPr>
          <w:rFonts w:hint="eastAsia"/>
          <w:b/>
          <w:bCs/>
          <w:color w:val="000000"/>
          <w:szCs w:val="21"/>
        </w:rPr>
        <w:t xml:space="preserve">  </w:t>
      </w:r>
      <w:r>
        <w:rPr>
          <w:rFonts w:hint="eastAsia"/>
          <w:color w:val="000000"/>
          <w:szCs w:val="20"/>
        </w:rPr>
        <w:t>控制项的</w:t>
      </w:r>
      <w:r>
        <w:rPr>
          <w:color w:val="000000"/>
          <w:szCs w:val="20"/>
        </w:rPr>
        <w:t>评定结果为满足或不满足；评分项和加分项的评定结果应为分值。</w:t>
      </w:r>
    </w:p>
    <w:p>
      <w:pPr>
        <w:widowControl/>
        <w:spacing w:line="360" w:lineRule="atLeast"/>
        <w:rPr>
          <w:color w:val="000000"/>
          <w:szCs w:val="20"/>
        </w:rPr>
      </w:pPr>
      <w:r>
        <w:rPr>
          <w:b/>
          <w:bCs/>
          <w:color w:val="000000"/>
          <w:szCs w:val="21"/>
        </w:rPr>
        <w:t>3.2.4</w:t>
      </w:r>
      <w:r>
        <w:rPr>
          <w:rFonts w:hint="eastAsia"/>
          <w:b/>
          <w:bCs/>
          <w:color w:val="000000"/>
          <w:szCs w:val="21"/>
        </w:rPr>
        <w:t xml:space="preserve">  </w:t>
      </w:r>
      <w:r>
        <w:rPr>
          <w:color w:val="000000"/>
          <w:szCs w:val="20"/>
        </w:rPr>
        <w:t>绿色</w:t>
      </w:r>
      <w:r>
        <w:rPr>
          <w:rFonts w:hint="eastAsia"/>
          <w:color w:val="000000"/>
          <w:szCs w:val="20"/>
        </w:rPr>
        <w:t>室内全装修评价分值应</w:t>
      </w:r>
      <w:r>
        <w:rPr>
          <w:color w:val="000000"/>
          <w:szCs w:val="20"/>
        </w:rPr>
        <w:t>符合表</w:t>
      </w:r>
      <w:r>
        <w:rPr>
          <w:rFonts w:hint="eastAsia"/>
          <w:color w:val="000000"/>
          <w:szCs w:val="20"/>
        </w:rPr>
        <w:t>3.2.4的</w:t>
      </w:r>
      <w:r>
        <w:rPr>
          <w:color w:val="000000"/>
          <w:szCs w:val="20"/>
        </w:rPr>
        <w:t>规定</w:t>
      </w:r>
      <w:r>
        <w:rPr>
          <w:rFonts w:hint="eastAsia"/>
          <w:color w:val="000000"/>
          <w:szCs w:val="20"/>
        </w:rPr>
        <w:t>。</w:t>
      </w:r>
    </w:p>
    <w:p>
      <w:pPr>
        <w:spacing w:line="380" w:lineRule="atLeast"/>
        <w:jc w:val="center"/>
        <w:rPr>
          <w:rFonts w:eastAsia="黑体"/>
          <w:color w:val="000000"/>
          <w:sz w:val="18"/>
          <w:szCs w:val="20"/>
        </w:rPr>
      </w:pPr>
      <w:r>
        <w:rPr>
          <w:rFonts w:eastAsia="黑体"/>
          <w:color w:val="000000"/>
          <w:sz w:val="18"/>
          <w:szCs w:val="20"/>
        </w:rPr>
        <w:t>表3.2.</w:t>
      </w:r>
      <w:r>
        <w:rPr>
          <w:rFonts w:hint="eastAsia" w:eastAsia="黑体"/>
          <w:color w:val="000000"/>
          <w:sz w:val="18"/>
          <w:szCs w:val="20"/>
        </w:rPr>
        <w:t xml:space="preserve">4  </w:t>
      </w:r>
      <w:r>
        <w:rPr>
          <w:rFonts w:eastAsia="黑体"/>
          <w:color w:val="000000"/>
          <w:sz w:val="18"/>
          <w:szCs w:val="20"/>
        </w:rPr>
        <w:t>绿色</w:t>
      </w:r>
      <w:r>
        <w:rPr>
          <w:rFonts w:hint="eastAsia" w:eastAsia="黑体"/>
          <w:color w:val="000000"/>
          <w:sz w:val="18"/>
          <w:szCs w:val="20"/>
        </w:rPr>
        <w:t>室内装饰装修</w:t>
      </w:r>
      <w:r>
        <w:rPr>
          <w:rFonts w:eastAsia="黑体"/>
          <w:color w:val="000000"/>
          <w:sz w:val="18"/>
          <w:szCs w:val="20"/>
        </w:rPr>
        <w:t>评价</w:t>
      </w:r>
      <w:r>
        <w:rPr>
          <w:rFonts w:hint="eastAsia" w:eastAsia="黑体"/>
          <w:color w:val="000000"/>
          <w:sz w:val="18"/>
          <w:szCs w:val="20"/>
        </w:rPr>
        <w:t>分值</w:t>
      </w:r>
    </w:p>
    <w:tbl>
      <w:tblPr>
        <w:tblStyle w:val="55"/>
        <w:tblW w:w="5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
      <w:tblGrid>
        <w:gridCol w:w="577"/>
        <w:gridCol w:w="1267"/>
        <w:gridCol w:w="848"/>
        <w:gridCol w:w="987"/>
        <w:gridCol w:w="989"/>
        <w:gridCol w:w="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382" w:hRule="exact"/>
          <w:jc w:val="center"/>
        </w:trPr>
        <w:tc>
          <w:tcPr>
            <w:tcW w:w="577" w:type="dxa"/>
            <w:vMerge w:val="restart"/>
            <w:tcBorders>
              <w:tl2br w:val="nil"/>
              <w:tr2bl w:val="nil"/>
            </w:tcBorders>
            <w:vAlign w:val="center"/>
          </w:tcPr>
          <w:p>
            <w:pPr>
              <w:spacing w:line="220" w:lineRule="exact"/>
              <w:jc w:val="center"/>
              <w:rPr>
                <w:color w:val="000000"/>
                <w:sz w:val="15"/>
                <w:szCs w:val="15"/>
              </w:rPr>
            </w:pPr>
            <w:r>
              <w:rPr>
                <w:rFonts w:hint="eastAsia"/>
                <w:color w:val="000000"/>
                <w:sz w:val="15"/>
                <w:szCs w:val="15"/>
              </w:rPr>
              <w:t>评价</w:t>
            </w:r>
          </w:p>
        </w:tc>
        <w:tc>
          <w:tcPr>
            <w:tcW w:w="1267" w:type="dxa"/>
            <w:vMerge w:val="restart"/>
            <w:tcBorders>
              <w:tl2br w:val="nil"/>
              <w:tr2bl w:val="nil"/>
            </w:tcBorders>
            <w:vAlign w:val="center"/>
          </w:tcPr>
          <w:p>
            <w:pPr>
              <w:spacing w:line="220" w:lineRule="exact"/>
              <w:jc w:val="center"/>
              <w:rPr>
                <w:color w:val="000000"/>
                <w:sz w:val="15"/>
                <w:szCs w:val="15"/>
              </w:rPr>
            </w:pPr>
            <w:r>
              <w:rPr>
                <w:rFonts w:hint="eastAsia"/>
                <w:color w:val="000000"/>
                <w:sz w:val="15"/>
                <w:szCs w:val="15"/>
              </w:rPr>
              <w:t>控制项基础分值</w:t>
            </w:r>
          </w:p>
          <w:p>
            <w:pPr>
              <w:spacing w:line="220" w:lineRule="exact"/>
              <w:jc w:val="center"/>
              <w:rPr>
                <w:color w:val="000000"/>
                <w:sz w:val="15"/>
                <w:szCs w:val="15"/>
              </w:rPr>
            </w:pPr>
            <w:r>
              <w:rPr>
                <w:color w:val="000000"/>
                <w:szCs w:val="20"/>
              </w:rPr>
              <w:t>Q</w:t>
            </w:r>
            <w:r>
              <w:rPr>
                <w:color w:val="000000"/>
                <w:szCs w:val="20"/>
                <w:vertAlign w:val="subscript"/>
              </w:rPr>
              <w:t>0</w:t>
            </w:r>
          </w:p>
        </w:tc>
        <w:tc>
          <w:tcPr>
            <w:tcW w:w="2824" w:type="dxa"/>
            <w:gridSpan w:val="3"/>
            <w:tcBorders>
              <w:tl2br w:val="nil"/>
              <w:tr2bl w:val="nil"/>
            </w:tcBorders>
            <w:vAlign w:val="center"/>
          </w:tcPr>
          <w:p>
            <w:pPr>
              <w:spacing w:line="220" w:lineRule="exact"/>
              <w:jc w:val="center"/>
              <w:rPr>
                <w:color w:val="000000"/>
                <w:sz w:val="15"/>
                <w:szCs w:val="15"/>
              </w:rPr>
            </w:pPr>
            <w:r>
              <w:rPr>
                <w:rFonts w:hint="eastAsia"/>
                <w:color w:val="000000"/>
                <w:sz w:val="15"/>
                <w:szCs w:val="15"/>
              </w:rPr>
              <w:t>评价指标分值</w:t>
            </w:r>
          </w:p>
        </w:tc>
        <w:tc>
          <w:tcPr>
            <w:tcW w:w="812" w:type="dxa"/>
            <w:vMerge w:val="restart"/>
            <w:tcBorders>
              <w:tl2br w:val="nil"/>
              <w:tr2bl w:val="nil"/>
            </w:tcBorders>
            <w:vAlign w:val="center"/>
          </w:tcPr>
          <w:p>
            <w:pPr>
              <w:spacing w:line="220" w:lineRule="exact"/>
              <w:jc w:val="center"/>
              <w:rPr>
                <w:color w:val="000000"/>
                <w:sz w:val="15"/>
                <w:szCs w:val="15"/>
              </w:rPr>
            </w:pPr>
            <w:r>
              <w:rPr>
                <w:rFonts w:hint="eastAsia"/>
                <w:color w:val="000000"/>
                <w:sz w:val="15"/>
                <w:szCs w:val="15"/>
              </w:rPr>
              <w:t>创新项</w:t>
            </w:r>
            <w:r>
              <w:rPr>
                <w:color w:val="000000"/>
                <w:sz w:val="15"/>
                <w:szCs w:val="15"/>
              </w:rPr>
              <w:t>加分值</w:t>
            </w:r>
            <w:r>
              <w:rPr>
                <w:color w:val="000000"/>
                <w:szCs w:val="20"/>
              </w:rPr>
              <w:t>Q</w:t>
            </w:r>
            <w:r>
              <w:rPr>
                <w:color w:val="000000"/>
                <w:szCs w:val="20"/>
                <w:vertAlign w:val="subscript"/>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946" w:hRule="exact"/>
          <w:jc w:val="center"/>
        </w:trPr>
        <w:tc>
          <w:tcPr>
            <w:tcW w:w="577" w:type="dxa"/>
            <w:vMerge w:val="continue"/>
            <w:tcBorders>
              <w:tl2br w:val="nil"/>
              <w:tr2bl w:val="nil"/>
            </w:tcBorders>
            <w:vAlign w:val="center"/>
          </w:tcPr>
          <w:p>
            <w:pPr>
              <w:spacing w:line="220" w:lineRule="exact"/>
              <w:jc w:val="center"/>
              <w:rPr>
                <w:color w:val="000000"/>
                <w:sz w:val="15"/>
                <w:szCs w:val="15"/>
              </w:rPr>
            </w:pPr>
          </w:p>
        </w:tc>
        <w:tc>
          <w:tcPr>
            <w:tcW w:w="1267" w:type="dxa"/>
            <w:vMerge w:val="continue"/>
            <w:tcBorders>
              <w:tl2br w:val="nil"/>
              <w:tr2bl w:val="nil"/>
            </w:tcBorders>
            <w:vAlign w:val="center"/>
          </w:tcPr>
          <w:p>
            <w:pPr>
              <w:spacing w:line="220" w:lineRule="exact"/>
              <w:jc w:val="center"/>
              <w:rPr>
                <w:color w:val="000000"/>
                <w:sz w:val="15"/>
                <w:szCs w:val="15"/>
              </w:rPr>
            </w:pPr>
          </w:p>
        </w:tc>
        <w:tc>
          <w:tcPr>
            <w:tcW w:w="848" w:type="dxa"/>
            <w:tcBorders>
              <w:tl2br w:val="nil"/>
              <w:tr2bl w:val="nil"/>
            </w:tcBorders>
            <w:vAlign w:val="center"/>
          </w:tcPr>
          <w:p>
            <w:pPr>
              <w:spacing w:line="220" w:lineRule="exact"/>
              <w:jc w:val="center"/>
              <w:rPr>
                <w:color w:val="000000"/>
                <w:sz w:val="15"/>
                <w:szCs w:val="15"/>
              </w:rPr>
            </w:pPr>
            <w:r>
              <w:rPr>
                <w:rFonts w:hint="eastAsia"/>
                <w:color w:val="000000"/>
                <w:sz w:val="15"/>
                <w:szCs w:val="15"/>
              </w:rPr>
              <w:t>绿色设计</w:t>
            </w:r>
          </w:p>
          <w:p>
            <w:pPr>
              <w:spacing w:line="220" w:lineRule="exact"/>
              <w:jc w:val="center"/>
              <w:rPr>
                <w:color w:val="000000"/>
                <w:sz w:val="15"/>
                <w:szCs w:val="15"/>
              </w:rPr>
            </w:pPr>
            <w:r>
              <w:rPr>
                <w:color w:val="000000"/>
                <w:szCs w:val="20"/>
              </w:rPr>
              <w:t>Q</w:t>
            </w:r>
            <w:r>
              <w:rPr>
                <w:color w:val="000000"/>
                <w:szCs w:val="20"/>
                <w:vertAlign w:val="subscript"/>
              </w:rPr>
              <w:t>1</w:t>
            </w:r>
          </w:p>
        </w:tc>
        <w:tc>
          <w:tcPr>
            <w:tcW w:w="987" w:type="dxa"/>
            <w:tcBorders>
              <w:tl2br w:val="nil"/>
              <w:tr2bl w:val="nil"/>
            </w:tcBorders>
            <w:vAlign w:val="center"/>
          </w:tcPr>
          <w:p>
            <w:pPr>
              <w:spacing w:line="220" w:lineRule="exact"/>
              <w:jc w:val="center"/>
              <w:rPr>
                <w:color w:val="000000"/>
                <w:sz w:val="15"/>
                <w:szCs w:val="15"/>
              </w:rPr>
            </w:pPr>
            <w:r>
              <w:rPr>
                <w:rFonts w:hint="eastAsia"/>
                <w:color w:val="000000"/>
                <w:sz w:val="15"/>
                <w:szCs w:val="15"/>
              </w:rPr>
              <w:t>材料与</w:t>
            </w:r>
            <w:r>
              <w:rPr>
                <w:color w:val="000000"/>
                <w:sz w:val="15"/>
                <w:szCs w:val="15"/>
              </w:rPr>
              <w:t>部品</w:t>
            </w:r>
          </w:p>
          <w:p>
            <w:pPr>
              <w:spacing w:line="220" w:lineRule="exact"/>
              <w:jc w:val="center"/>
              <w:rPr>
                <w:color w:val="000000"/>
                <w:sz w:val="15"/>
                <w:szCs w:val="15"/>
              </w:rPr>
            </w:pPr>
            <w:r>
              <w:rPr>
                <w:color w:val="000000"/>
                <w:szCs w:val="20"/>
              </w:rPr>
              <w:t>Q</w:t>
            </w:r>
            <w:r>
              <w:rPr>
                <w:color w:val="000000"/>
                <w:szCs w:val="20"/>
                <w:vertAlign w:val="subscript"/>
              </w:rPr>
              <w:t>2</w:t>
            </w:r>
          </w:p>
        </w:tc>
        <w:tc>
          <w:tcPr>
            <w:tcW w:w="989" w:type="dxa"/>
            <w:tcBorders>
              <w:tl2br w:val="nil"/>
              <w:tr2bl w:val="nil"/>
            </w:tcBorders>
            <w:vAlign w:val="center"/>
          </w:tcPr>
          <w:p>
            <w:pPr>
              <w:spacing w:line="220" w:lineRule="exact"/>
              <w:jc w:val="center"/>
              <w:rPr>
                <w:color w:val="000000"/>
                <w:sz w:val="15"/>
                <w:szCs w:val="15"/>
              </w:rPr>
            </w:pPr>
            <w:r>
              <w:rPr>
                <w:rFonts w:hint="eastAsia"/>
                <w:color w:val="000000"/>
                <w:sz w:val="15"/>
                <w:szCs w:val="15"/>
              </w:rPr>
              <w:t>施工与</w:t>
            </w:r>
            <w:r>
              <w:rPr>
                <w:color w:val="000000"/>
                <w:sz w:val="15"/>
                <w:szCs w:val="15"/>
              </w:rPr>
              <w:t>验收</w:t>
            </w:r>
          </w:p>
          <w:p>
            <w:pPr>
              <w:spacing w:line="220" w:lineRule="exact"/>
              <w:jc w:val="center"/>
              <w:rPr>
                <w:color w:val="000000"/>
                <w:sz w:val="15"/>
                <w:szCs w:val="15"/>
              </w:rPr>
            </w:pPr>
            <w:r>
              <w:rPr>
                <w:color w:val="000000"/>
                <w:szCs w:val="20"/>
              </w:rPr>
              <w:t>Q</w:t>
            </w:r>
            <w:r>
              <w:rPr>
                <w:color w:val="000000"/>
                <w:szCs w:val="20"/>
                <w:vertAlign w:val="subscript"/>
              </w:rPr>
              <w:t>3</w:t>
            </w:r>
          </w:p>
        </w:tc>
        <w:tc>
          <w:tcPr>
            <w:tcW w:w="812" w:type="dxa"/>
            <w:vMerge w:val="continue"/>
            <w:tcBorders>
              <w:tl2br w:val="nil"/>
              <w:tr2bl w:val="nil"/>
            </w:tcBorders>
            <w:vAlign w:val="center"/>
          </w:tcPr>
          <w:p>
            <w:pPr>
              <w:spacing w:line="220" w:lineRule="exact"/>
              <w:jc w:val="center"/>
              <w:rPr>
                <w:color w:val="00000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jc w:val="center"/>
        </w:trPr>
        <w:tc>
          <w:tcPr>
            <w:tcW w:w="577" w:type="dxa"/>
            <w:tcBorders>
              <w:tl2br w:val="nil"/>
              <w:tr2bl w:val="nil"/>
            </w:tcBorders>
            <w:vAlign w:val="center"/>
          </w:tcPr>
          <w:p>
            <w:pPr>
              <w:spacing w:line="220" w:lineRule="exact"/>
              <w:jc w:val="center"/>
              <w:rPr>
                <w:color w:val="000000"/>
                <w:sz w:val="15"/>
                <w:szCs w:val="15"/>
              </w:rPr>
            </w:pPr>
            <w:r>
              <w:rPr>
                <w:rFonts w:hint="eastAsia"/>
                <w:color w:val="000000"/>
                <w:sz w:val="15"/>
                <w:szCs w:val="15"/>
              </w:rPr>
              <w:t>分值</w:t>
            </w:r>
          </w:p>
        </w:tc>
        <w:tc>
          <w:tcPr>
            <w:tcW w:w="1267" w:type="dxa"/>
            <w:tcBorders>
              <w:tl2br w:val="nil"/>
              <w:tr2bl w:val="nil"/>
            </w:tcBorders>
            <w:vAlign w:val="center"/>
          </w:tcPr>
          <w:p>
            <w:pPr>
              <w:spacing w:line="220" w:lineRule="exact"/>
              <w:jc w:val="center"/>
              <w:rPr>
                <w:color w:val="000000"/>
                <w:sz w:val="15"/>
                <w:szCs w:val="15"/>
              </w:rPr>
            </w:pPr>
            <w:r>
              <w:rPr>
                <w:color w:val="000000"/>
                <w:sz w:val="15"/>
                <w:szCs w:val="15"/>
              </w:rPr>
              <w:t>450</w:t>
            </w:r>
          </w:p>
        </w:tc>
        <w:tc>
          <w:tcPr>
            <w:tcW w:w="848" w:type="dxa"/>
            <w:tcBorders>
              <w:tl2br w:val="nil"/>
              <w:tr2bl w:val="nil"/>
            </w:tcBorders>
            <w:vAlign w:val="center"/>
          </w:tcPr>
          <w:p>
            <w:pPr>
              <w:spacing w:line="220" w:lineRule="exact"/>
              <w:jc w:val="center"/>
              <w:rPr>
                <w:color w:val="000000"/>
                <w:sz w:val="15"/>
                <w:szCs w:val="15"/>
              </w:rPr>
            </w:pPr>
            <w:r>
              <w:rPr>
                <w:color w:val="000000"/>
                <w:sz w:val="15"/>
                <w:szCs w:val="15"/>
              </w:rPr>
              <w:t>250</w:t>
            </w:r>
          </w:p>
        </w:tc>
        <w:tc>
          <w:tcPr>
            <w:tcW w:w="987" w:type="dxa"/>
            <w:tcBorders>
              <w:tl2br w:val="nil"/>
              <w:tr2bl w:val="nil"/>
            </w:tcBorders>
            <w:vAlign w:val="center"/>
          </w:tcPr>
          <w:p>
            <w:pPr>
              <w:spacing w:line="220" w:lineRule="exact"/>
              <w:jc w:val="center"/>
              <w:rPr>
                <w:color w:val="000000"/>
                <w:sz w:val="15"/>
                <w:szCs w:val="15"/>
              </w:rPr>
            </w:pPr>
            <w:r>
              <w:rPr>
                <w:color w:val="000000"/>
                <w:sz w:val="15"/>
                <w:szCs w:val="15"/>
              </w:rPr>
              <w:t>100</w:t>
            </w:r>
          </w:p>
        </w:tc>
        <w:tc>
          <w:tcPr>
            <w:tcW w:w="989" w:type="dxa"/>
            <w:tcBorders>
              <w:tl2br w:val="nil"/>
              <w:tr2bl w:val="nil"/>
            </w:tcBorders>
            <w:vAlign w:val="center"/>
          </w:tcPr>
          <w:p>
            <w:pPr>
              <w:spacing w:line="220" w:lineRule="exact"/>
              <w:jc w:val="center"/>
              <w:rPr>
                <w:color w:val="000000"/>
                <w:sz w:val="15"/>
                <w:szCs w:val="15"/>
              </w:rPr>
            </w:pPr>
            <w:r>
              <w:rPr>
                <w:color w:val="000000"/>
                <w:sz w:val="15"/>
                <w:szCs w:val="15"/>
              </w:rPr>
              <w:t>200</w:t>
            </w:r>
          </w:p>
        </w:tc>
        <w:tc>
          <w:tcPr>
            <w:tcW w:w="812" w:type="dxa"/>
            <w:tcBorders>
              <w:tl2br w:val="nil"/>
              <w:tr2bl w:val="nil"/>
            </w:tcBorders>
            <w:vAlign w:val="center"/>
          </w:tcPr>
          <w:p>
            <w:pPr>
              <w:spacing w:line="220" w:lineRule="exact"/>
              <w:jc w:val="center"/>
              <w:rPr>
                <w:color w:val="000000"/>
                <w:sz w:val="15"/>
                <w:szCs w:val="15"/>
              </w:rPr>
            </w:pPr>
            <w:r>
              <w:rPr>
                <w:color w:val="000000"/>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jc w:val="center"/>
        </w:trPr>
        <w:tc>
          <w:tcPr>
            <w:tcW w:w="577" w:type="dxa"/>
            <w:tcBorders>
              <w:tl2br w:val="nil"/>
              <w:tr2bl w:val="nil"/>
            </w:tcBorders>
            <w:vAlign w:val="center"/>
          </w:tcPr>
          <w:p>
            <w:pPr>
              <w:spacing w:line="220" w:lineRule="exact"/>
              <w:jc w:val="center"/>
              <w:rPr>
                <w:color w:val="000000"/>
                <w:sz w:val="15"/>
                <w:szCs w:val="15"/>
              </w:rPr>
            </w:pPr>
            <w:r>
              <w:rPr>
                <w:rFonts w:hint="eastAsia"/>
                <w:color w:val="000000"/>
                <w:sz w:val="15"/>
                <w:szCs w:val="15"/>
              </w:rPr>
              <w:t>合计</w:t>
            </w:r>
          </w:p>
        </w:tc>
        <w:tc>
          <w:tcPr>
            <w:tcW w:w="4903" w:type="dxa"/>
            <w:gridSpan w:val="5"/>
            <w:tcBorders>
              <w:tl2br w:val="nil"/>
              <w:tr2bl w:val="nil"/>
            </w:tcBorders>
            <w:vAlign w:val="center"/>
          </w:tcPr>
          <w:p>
            <w:pPr>
              <w:spacing w:line="220" w:lineRule="exact"/>
              <w:jc w:val="center"/>
              <w:rPr>
                <w:color w:val="000000"/>
                <w:sz w:val="15"/>
                <w:szCs w:val="15"/>
              </w:rPr>
            </w:pPr>
            <w:r>
              <w:rPr>
                <w:rFonts w:hint="eastAsia"/>
                <w:color w:val="000000"/>
                <w:sz w:val="15"/>
                <w:szCs w:val="15"/>
              </w:rPr>
              <w:t>1100</w:t>
            </w:r>
          </w:p>
        </w:tc>
      </w:tr>
    </w:tbl>
    <w:p>
      <w:pPr>
        <w:widowControl/>
        <w:spacing w:line="360" w:lineRule="atLeast"/>
        <w:rPr>
          <w:color w:val="000000"/>
          <w:szCs w:val="20"/>
        </w:rPr>
      </w:pPr>
      <w:r>
        <w:rPr>
          <w:b/>
          <w:bCs/>
          <w:color w:val="000000"/>
          <w:szCs w:val="21"/>
        </w:rPr>
        <w:t>3.2.5</w:t>
      </w:r>
      <w:r>
        <w:rPr>
          <w:rFonts w:hint="eastAsia"/>
          <w:b/>
          <w:bCs/>
          <w:color w:val="000000"/>
          <w:szCs w:val="21"/>
        </w:rPr>
        <w:t xml:space="preserve">  </w:t>
      </w:r>
      <w:r>
        <w:rPr>
          <w:color w:val="000000"/>
          <w:szCs w:val="20"/>
        </w:rPr>
        <w:t>绿色</w:t>
      </w:r>
      <w:r>
        <w:rPr>
          <w:rFonts w:hint="eastAsia"/>
          <w:color w:val="000000"/>
          <w:szCs w:val="20"/>
        </w:rPr>
        <w:t>室内全装修评价总得分应</w:t>
      </w:r>
      <w:r>
        <w:rPr>
          <w:color w:val="000000"/>
          <w:szCs w:val="20"/>
        </w:rPr>
        <w:t>按下式进行计算。</w:t>
      </w:r>
    </w:p>
    <w:p>
      <w:pPr>
        <w:widowControl/>
        <w:spacing w:line="360" w:lineRule="atLeast"/>
        <w:ind w:firstLine="315" w:firstLineChars="150"/>
        <w:jc w:val="center"/>
        <w:rPr>
          <w:color w:val="000000"/>
          <w:szCs w:val="20"/>
          <w:vertAlign w:val="subscript"/>
        </w:rPr>
      </w:pPr>
      <w:r>
        <w:rPr>
          <w:rFonts w:hint="eastAsia"/>
          <w:color w:val="000000"/>
          <w:szCs w:val="20"/>
        </w:rPr>
        <w:t xml:space="preserve">      ∑Q=（</w:t>
      </w:r>
      <w:r>
        <w:rPr>
          <w:color w:val="000000"/>
          <w:szCs w:val="20"/>
        </w:rPr>
        <w:t>Q</w:t>
      </w:r>
      <w:r>
        <w:rPr>
          <w:color w:val="000000"/>
          <w:szCs w:val="20"/>
          <w:vertAlign w:val="subscript"/>
        </w:rPr>
        <w:t>0</w:t>
      </w:r>
      <w:r>
        <w:rPr>
          <w:rFonts w:hint="eastAsia"/>
          <w:color w:val="000000"/>
          <w:szCs w:val="20"/>
        </w:rPr>
        <w:t>+</w:t>
      </w:r>
      <w:r>
        <w:rPr>
          <w:color w:val="000000"/>
          <w:szCs w:val="20"/>
        </w:rPr>
        <w:t>Q</w:t>
      </w:r>
      <w:r>
        <w:rPr>
          <w:rFonts w:hint="eastAsia"/>
          <w:color w:val="000000"/>
          <w:szCs w:val="20"/>
          <w:vertAlign w:val="subscript"/>
        </w:rPr>
        <w:t>1</w:t>
      </w:r>
      <w:r>
        <w:rPr>
          <w:rFonts w:hint="eastAsia"/>
          <w:color w:val="000000"/>
          <w:szCs w:val="20"/>
        </w:rPr>
        <w:t>+</w:t>
      </w:r>
      <w:r>
        <w:rPr>
          <w:color w:val="000000"/>
          <w:szCs w:val="20"/>
        </w:rPr>
        <w:t>Q</w:t>
      </w:r>
      <w:r>
        <w:rPr>
          <w:rFonts w:hint="eastAsia"/>
          <w:color w:val="000000"/>
          <w:szCs w:val="20"/>
          <w:vertAlign w:val="subscript"/>
        </w:rPr>
        <w:t>2</w:t>
      </w:r>
      <w:r>
        <w:rPr>
          <w:rFonts w:hint="eastAsia"/>
          <w:color w:val="000000"/>
          <w:szCs w:val="20"/>
        </w:rPr>
        <w:t>+</w:t>
      </w:r>
      <w:r>
        <w:rPr>
          <w:color w:val="000000"/>
          <w:szCs w:val="20"/>
        </w:rPr>
        <w:t>Q</w:t>
      </w:r>
      <w:r>
        <w:rPr>
          <w:rFonts w:hint="eastAsia"/>
          <w:color w:val="000000"/>
          <w:szCs w:val="20"/>
          <w:vertAlign w:val="subscript"/>
        </w:rPr>
        <w:t>3</w:t>
      </w:r>
      <w:r>
        <w:rPr>
          <w:color w:val="000000"/>
          <w:szCs w:val="20"/>
        </w:rPr>
        <w:t xml:space="preserve"> +Q</w:t>
      </w:r>
      <w:r>
        <w:rPr>
          <w:color w:val="000000"/>
          <w:szCs w:val="20"/>
          <w:vertAlign w:val="subscript"/>
        </w:rPr>
        <w:t>A</w:t>
      </w:r>
      <w:r>
        <w:rPr>
          <w:rFonts w:hint="eastAsia"/>
          <w:color w:val="000000"/>
          <w:szCs w:val="20"/>
        </w:rPr>
        <w:t xml:space="preserve">）/10      </w:t>
      </w:r>
      <w:r>
        <w:rPr>
          <w:color w:val="000000"/>
          <w:szCs w:val="20"/>
        </w:rPr>
        <w:t>（3.2.5）</w:t>
      </w:r>
    </w:p>
    <w:p>
      <w:pPr>
        <w:widowControl/>
        <w:spacing w:line="360" w:lineRule="atLeast"/>
        <w:rPr>
          <w:bCs/>
          <w:color w:val="000000"/>
          <w:szCs w:val="21"/>
        </w:rPr>
      </w:pPr>
      <w:r>
        <w:rPr>
          <w:rFonts w:hint="eastAsia"/>
          <w:bCs/>
          <w:color w:val="000000"/>
          <w:szCs w:val="21"/>
        </w:rPr>
        <w:t>式</w:t>
      </w:r>
      <w:r>
        <w:rPr>
          <w:bCs/>
          <w:color w:val="000000"/>
          <w:szCs w:val="21"/>
        </w:rPr>
        <w:t>中：Q——总</w:t>
      </w:r>
      <w:r>
        <w:rPr>
          <w:rFonts w:hint="eastAsia"/>
          <w:bCs/>
          <w:color w:val="000000"/>
          <w:szCs w:val="21"/>
        </w:rPr>
        <w:t>得分</w:t>
      </w:r>
      <w:r>
        <w:rPr>
          <w:bCs/>
          <w:color w:val="000000"/>
          <w:szCs w:val="21"/>
        </w:rPr>
        <w:t>；</w:t>
      </w:r>
    </w:p>
    <w:p>
      <w:pPr>
        <w:widowControl/>
        <w:spacing w:line="360" w:lineRule="atLeast"/>
        <w:ind w:firstLine="630" w:firstLineChars="300"/>
        <w:rPr>
          <w:bCs/>
          <w:color w:val="000000"/>
          <w:szCs w:val="21"/>
        </w:rPr>
      </w:pPr>
      <w:r>
        <w:rPr>
          <w:color w:val="000000"/>
          <w:szCs w:val="20"/>
        </w:rPr>
        <w:t>Q</w:t>
      </w:r>
      <w:r>
        <w:rPr>
          <w:color w:val="000000"/>
          <w:szCs w:val="20"/>
          <w:vertAlign w:val="subscript"/>
        </w:rPr>
        <w:t>0</w:t>
      </w:r>
      <w:r>
        <w:rPr>
          <w:bCs/>
          <w:color w:val="000000"/>
          <w:szCs w:val="21"/>
        </w:rPr>
        <w:t>——</w:t>
      </w:r>
      <w:r>
        <w:rPr>
          <w:rFonts w:hint="eastAsia"/>
          <w:bCs/>
          <w:color w:val="000000"/>
          <w:szCs w:val="21"/>
        </w:rPr>
        <w:t>控制项基础</w:t>
      </w:r>
      <w:r>
        <w:rPr>
          <w:bCs/>
          <w:color w:val="000000"/>
          <w:szCs w:val="21"/>
        </w:rPr>
        <w:t>分值，应满足所有控制项的要求；</w:t>
      </w:r>
    </w:p>
    <w:p>
      <w:pPr>
        <w:widowControl/>
        <w:spacing w:line="360" w:lineRule="atLeast"/>
        <w:ind w:firstLine="630" w:firstLineChars="300"/>
        <w:rPr>
          <w:bCs/>
          <w:color w:val="000000"/>
          <w:szCs w:val="21"/>
        </w:rPr>
      </w:pPr>
      <w:r>
        <w:rPr>
          <w:color w:val="000000"/>
          <w:szCs w:val="20"/>
        </w:rPr>
        <w:t>Q</w:t>
      </w:r>
      <w:r>
        <w:rPr>
          <w:color w:val="000000"/>
          <w:szCs w:val="20"/>
          <w:vertAlign w:val="subscript"/>
        </w:rPr>
        <w:t>1</w:t>
      </w:r>
      <w:r>
        <w:rPr>
          <w:color w:val="000000"/>
          <w:szCs w:val="20"/>
        </w:rPr>
        <w:t>~ Q</w:t>
      </w:r>
      <w:r>
        <w:rPr>
          <w:color w:val="000000"/>
          <w:szCs w:val="20"/>
          <w:vertAlign w:val="subscript"/>
        </w:rPr>
        <w:t>3</w:t>
      </w:r>
      <w:r>
        <w:rPr>
          <w:bCs/>
          <w:color w:val="000000"/>
          <w:szCs w:val="21"/>
        </w:rPr>
        <w:t>——</w:t>
      </w:r>
      <w:r>
        <w:rPr>
          <w:rFonts w:hint="eastAsia"/>
          <w:bCs/>
          <w:color w:val="000000"/>
          <w:szCs w:val="21"/>
        </w:rPr>
        <w:t>分别为</w:t>
      </w:r>
      <w:r>
        <w:rPr>
          <w:bCs/>
          <w:color w:val="000000"/>
          <w:szCs w:val="21"/>
        </w:rPr>
        <w:t>评价指标体系3</w:t>
      </w:r>
      <w:r>
        <w:rPr>
          <w:rFonts w:hint="eastAsia"/>
          <w:bCs/>
          <w:color w:val="000000"/>
          <w:szCs w:val="21"/>
        </w:rPr>
        <w:t>类</w:t>
      </w:r>
      <w:r>
        <w:rPr>
          <w:bCs/>
          <w:color w:val="000000"/>
          <w:szCs w:val="21"/>
        </w:rPr>
        <w:t>指标的评分项得分；</w:t>
      </w:r>
    </w:p>
    <w:p>
      <w:pPr>
        <w:widowControl/>
        <w:spacing w:line="360" w:lineRule="atLeast"/>
        <w:ind w:firstLine="630" w:firstLineChars="300"/>
        <w:rPr>
          <w:bCs/>
          <w:color w:val="000000"/>
          <w:szCs w:val="21"/>
        </w:rPr>
      </w:pPr>
      <w:r>
        <w:rPr>
          <w:color w:val="000000"/>
          <w:szCs w:val="20"/>
        </w:rPr>
        <w:t>Q</w:t>
      </w:r>
      <w:r>
        <w:rPr>
          <w:color w:val="000000"/>
          <w:szCs w:val="20"/>
          <w:vertAlign w:val="subscript"/>
        </w:rPr>
        <w:t>A</w:t>
      </w:r>
      <w:r>
        <w:rPr>
          <w:bCs/>
          <w:color w:val="000000"/>
          <w:szCs w:val="21"/>
        </w:rPr>
        <w:t>——</w:t>
      </w:r>
      <w:r>
        <w:rPr>
          <w:rFonts w:hint="eastAsia"/>
          <w:bCs/>
          <w:color w:val="000000"/>
          <w:szCs w:val="21"/>
        </w:rPr>
        <w:t>创新项得分。</w:t>
      </w:r>
    </w:p>
    <w:p>
      <w:pPr>
        <w:widowControl/>
        <w:spacing w:line="360" w:lineRule="atLeast"/>
        <w:rPr>
          <w:color w:val="000000"/>
          <w:szCs w:val="20"/>
        </w:rPr>
      </w:pPr>
      <w:r>
        <w:rPr>
          <w:b/>
          <w:bCs/>
          <w:color w:val="000000"/>
          <w:szCs w:val="21"/>
        </w:rPr>
        <w:t>3.2.6</w:t>
      </w:r>
      <w:r>
        <w:rPr>
          <w:rFonts w:hint="eastAsia"/>
          <w:b/>
          <w:bCs/>
          <w:color w:val="000000"/>
          <w:szCs w:val="21"/>
        </w:rPr>
        <w:t xml:space="preserve">  </w:t>
      </w:r>
      <w:r>
        <w:rPr>
          <w:color w:val="000000"/>
          <w:szCs w:val="20"/>
        </w:rPr>
        <w:t>绿色</w:t>
      </w:r>
      <w:r>
        <w:rPr>
          <w:rFonts w:hint="eastAsia"/>
          <w:color w:val="000000"/>
          <w:szCs w:val="20"/>
        </w:rPr>
        <w:t>室内全装修评价</w:t>
      </w:r>
      <w:r>
        <w:rPr>
          <w:color w:val="000000"/>
          <w:szCs w:val="20"/>
        </w:rPr>
        <w:t>等级划分为基本级、一星级、二星级、三星级</w:t>
      </w:r>
      <w:r>
        <w:rPr>
          <w:rFonts w:hint="eastAsia"/>
          <w:color w:val="000000"/>
          <w:szCs w:val="20"/>
        </w:rPr>
        <w:t>4个</w:t>
      </w:r>
      <w:r>
        <w:rPr>
          <w:color w:val="000000"/>
          <w:szCs w:val="20"/>
        </w:rPr>
        <w:t>等级。</w:t>
      </w:r>
    </w:p>
    <w:p>
      <w:pPr>
        <w:widowControl/>
        <w:spacing w:line="360" w:lineRule="atLeast"/>
        <w:rPr>
          <w:color w:val="000000"/>
          <w:szCs w:val="20"/>
        </w:rPr>
      </w:pPr>
      <w:r>
        <w:rPr>
          <w:b/>
          <w:bCs/>
          <w:color w:val="000000"/>
          <w:szCs w:val="21"/>
        </w:rPr>
        <w:t>3.2.7</w:t>
      </w:r>
      <w:r>
        <w:rPr>
          <w:rFonts w:hint="eastAsia"/>
          <w:b/>
          <w:bCs/>
          <w:color w:val="000000"/>
          <w:szCs w:val="21"/>
        </w:rPr>
        <w:t xml:space="preserve">  </w:t>
      </w:r>
      <w:r>
        <w:rPr>
          <w:color w:val="000000"/>
          <w:szCs w:val="20"/>
        </w:rPr>
        <w:t>绿色</w:t>
      </w:r>
      <w:r>
        <w:rPr>
          <w:rFonts w:hint="eastAsia"/>
          <w:color w:val="000000"/>
          <w:szCs w:val="20"/>
        </w:rPr>
        <w:t>建筑室内全装修等级应</w:t>
      </w:r>
      <w:r>
        <w:rPr>
          <w:color w:val="000000"/>
          <w:szCs w:val="20"/>
        </w:rPr>
        <w:t>按下列要求确定：</w:t>
      </w:r>
    </w:p>
    <w:p>
      <w:pPr>
        <w:widowControl/>
        <w:spacing w:line="360" w:lineRule="atLeast"/>
        <w:ind w:firstLine="422" w:firstLineChars="200"/>
        <w:rPr>
          <w:color w:val="000000"/>
          <w:szCs w:val="20"/>
        </w:rPr>
      </w:pPr>
      <w:r>
        <w:rPr>
          <w:b/>
          <w:color w:val="000000"/>
          <w:szCs w:val="20"/>
        </w:rPr>
        <w:t xml:space="preserve">1 </w:t>
      </w:r>
      <w:r>
        <w:rPr>
          <w:color w:val="000000"/>
          <w:szCs w:val="20"/>
        </w:rPr>
        <w:t xml:space="preserve"> </w:t>
      </w:r>
      <w:r>
        <w:rPr>
          <w:rFonts w:hint="eastAsia"/>
          <w:color w:val="000000"/>
          <w:szCs w:val="20"/>
        </w:rPr>
        <w:t>当满足全部控制项要求时，绿色建筑室内装饰装修等级应为基本级；</w:t>
      </w:r>
    </w:p>
    <w:p>
      <w:pPr>
        <w:widowControl/>
        <w:spacing w:line="360" w:lineRule="atLeast"/>
        <w:ind w:firstLine="422" w:firstLineChars="200"/>
        <w:rPr>
          <w:color w:val="000000"/>
          <w:szCs w:val="20"/>
        </w:rPr>
      </w:pPr>
      <w:r>
        <w:rPr>
          <w:b/>
          <w:color w:val="000000"/>
          <w:szCs w:val="20"/>
        </w:rPr>
        <w:t xml:space="preserve">2 </w:t>
      </w:r>
      <w:r>
        <w:rPr>
          <w:color w:val="000000"/>
          <w:szCs w:val="20"/>
        </w:rPr>
        <w:t xml:space="preserve"> </w:t>
      </w:r>
      <w:r>
        <w:rPr>
          <w:rFonts w:hint="eastAsia"/>
          <w:color w:val="000000"/>
          <w:szCs w:val="20"/>
        </w:rPr>
        <w:t>一星级、二星级、三星级3 个等级的绿色建筑均应满足本标准所有控制项的要求，且各类指标的评分项得分不应小于其总分值的30%；</w:t>
      </w:r>
    </w:p>
    <w:p>
      <w:pPr>
        <w:widowControl/>
        <w:spacing w:line="360" w:lineRule="atLeast"/>
        <w:ind w:firstLine="422" w:firstLineChars="200"/>
        <w:rPr>
          <w:color w:val="000000"/>
          <w:szCs w:val="20"/>
        </w:rPr>
      </w:pPr>
      <w:r>
        <w:rPr>
          <w:b/>
          <w:color w:val="000000"/>
          <w:szCs w:val="20"/>
        </w:rPr>
        <w:t xml:space="preserve">3 </w:t>
      </w:r>
      <w:r>
        <w:rPr>
          <w:color w:val="000000"/>
          <w:szCs w:val="20"/>
        </w:rPr>
        <w:t xml:space="preserve"> </w:t>
      </w:r>
      <w:r>
        <w:rPr>
          <w:rFonts w:hint="eastAsia"/>
          <w:color w:val="000000"/>
          <w:szCs w:val="20"/>
        </w:rPr>
        <w:t>当总</w:t>
      </w:r>
      <w:r>
        <w:rPr>
          <w:color w:val="000000"/>
          <w:szCs w:val="20"/>
        </w:rPr>
        <w:t>得分分别达到</w:t>
      </w:r>
      <w:r>
        <w:rPr>
          <w:rFonts w:hint="eastAsia"/>
          <w:color w:val="000000"/>
          <w:szCs w:val="20"/>
        </w:rPr>
        <w:t>60分</w:t>
      </w:r>
      <w:r>
        <w:rPr>
          <w:color w:val="000000"/>
          <w:szCs w:val="20"/>
        </w:rPr>
        <w:t>、70</w:t>
      </w:r>
      <w:r>
        <w:rPr>
          <w:rFonts w:hint="eastAsia"/>
          <w:color w:val="000000"/>
          <w:szCs w:val="20"/>
        </w:rPr>
        <w:t>分</w:t>
      </w:r>
      <w:r>
        <w:rPr>
          <w:color w:val="000000"/>
          <w:szCs w:val="20"/>
        </w:rPr>
        <w:t>、85</w:t>
      </w:r>
      <w:r>
        <w:rPr>
          <w:rFonts w:hint="eastAsia"/>
          <w:color w:val="000000"/>
          <w:szCs w:val="20"/>
        </w:rPr>
        <w:t>分且</w:t>
      </w:r>
      <w:r>
        <w:rPr>
          <w:color w:val="000000"/>
          <w:szCs w:val="20"/>
        </w:rPr>
        <w:t>应满足</w:t>
      </w:r>
      <w:r>
        <w:rPr>
          <w:rFonts w:hint="eastAsia"/>
          <w:color w:val="000000"/>
          <w:szCs w:val="20"/>
        </w:rPr>
        <w:t>表3.2.7的</w:t>
      </w:r>
      <w:r>
        <w:rPr>
          <w:color w:val="000000"/>
          <w:szCs w:val="20"/>
        </w:rPr>
        <w:t>要求</w:t>
      </w:r>
      <w:r>
        <w:rPr>
          <w:rFonts w:hint="eastAsia"/>
          <w:color w:val="000000"/>
          <w:szCs w:val="20"/>
        </w:rPr>
        <w:t>时</w:t>
      </w:r>
      <w:r>
        <w:rPr>
          <w:color w:val="000000"/>
          <w:szCs w:val="20"/>
        </w:rPr>
        <w:t>，绿色建筑等级分别为一星级、二星级、三星级。</w:t>
      </w:r>
    </w:p>
    <w:p>
      <w:pPr>
        <w:widowControl/>
        <w:spacing w:line="360" w:lineRule="atLeast"/>
        <w:ind w:firstLine="360" w:firstLineChars="200"/>
        <w:jc w:val="center"/>
        <w:rPr>
          <w:color w:val="000000"/>
          <w:sz w:val="18"/>
          <w:szCs w:val="18"/>
        </w:rPr>
      </w:pPr>
      <w:r>
        <w:rPr>
          <w:rFonts w:hint="eastAsia"/>
          <w:color w:val="000000"/>
          <w:sz w:val="18"/>
          <w:szCs w:val="18"/>
        </w:rPr>
        <w:t>表3.2.7室内主要</w:t>
      </w:r>
      <w:r>
        <w:rPr>
          <w:color w:val="000000"/>
          <w:sz w:val="18"/>
          <w:szCs w:val="18"/>
        </w:rPr>
        <w:t>污染物浓度</w:t>
      </w:r>
      <w:r>
        <w:rPr>
          <w:rFonts w:hint="eastAsia"/>
          <w:color w:val="000000"/>
          <w:sz w:val="18"/>
          <w:szCs w:val="18"/>
        </w:rPr>
        <w:t>降低</w:t>
      </w:r>
      <w:r>
        <w:rPr>
          <w:color w:val="000000"/>
          <w:sz w:val="18"/>
          <w:szCs w:val="18"/>
        </w:rPr>
        <w:t>比例</w:t>
      </w:r>
    </w:p>
    <w:tbl>
      <w:tblPr>
        <w:tblStyle w:val="56"/>
        <w:tblW w:w="58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471"/>
        <w:gridCol w:w="1472"/>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1" w:type="dxa"/>
            <w:vAlign w:val="top"/>
          </w:tcPr>
          <w:p>
            <w:pPr>
              <w:widowControl/>
              <w:spacing w:line="360" w:lineRule="atLeast"/>
              <w:jc w:val="center"/>
              <w:rPr>
                <w:color w:val="000000"/>
                <w:szCs w:val="20"/>
              </w:rPr>
            </w:pPr>
          </w:p>
        </w:tc>
        <w:tc>
          <w:tcPr>
            <w:tcW w:w="1471" w:type="dxa"/>
            <w:vAlign w:val="top"/>
          </w:tcPr>
          <w:p>
            <w:pPr>
              <w:widowControl/>
              <w:spacing w:line="360" w:lineRule="atLeast"/>
              <w:jc w:val="center"/>
              <w:rPr>
                <w:color w:val="000000"/>
                <w:szCs w:val="20"/>
              </w:rPr>
            </w:pPr>
            <w:r>
              <w:rPr>
                <w:rFonts w:hint="eastAsia"/>
                <w:color w:val="000000"/>
                <w:sz w:val="18"/>
                <w:szCs w:val="18"/>
              </w:rPr>
              <w:t>一星级</w:t>
            </w:r>
          </w:p>
        </w:tc>
        <w:tc>
          <w:tcPr>
            <w:tcW w:w="1472" w:type="dxa"/>
            <w:vAlign w:val="top"/>
          </w:tcPr>
          <w:p>
            <w:pPr>
              <w:widowControl/>
              <w:spacing w:line="360" w:lineRule="atLeast"/>
              <w:jc w:val="center"/>
              <w:rPr>
                <w:color w:val="000000"/>
                <w:szCs w:val="20"/>
              </w:rPr>
            </w:pPr>
            <w:r>
              <w:rPr>
                <w:rFonts w:hint="eastAsia"/>
                <w:color w:val="000000"/>
                <w:sz w:val="18"/>
                <w:szCs w:val="18"/>
              </w:rPr>
              <w:t>二星级</w:t>
            </w:r>
          </w:p>
        </w:tc>
        <w:tc>
          <w:tcPr>
            <w:tcW w:w="1472" w:type="dxa"/>
            <w:vAlign w:val="top"/>
          </w:tcPr>
          <w:p>
            <w:pPr>
              <w:widowControl/>
              <w:spacing w:line="360" w:lineRule="atLeast"/>
              <w:jc w:val="center"/>
              <w:rPr>
                <w:color w:val="000000"/>
                <w:szCs w:val="20"/>
              </w:rPr>
            </w:pPr>
            <w:r>
              <w:rPr>
                <w:rFonts w:hint="eastAsia"/>
                <w:color w:val="000000"/>
                <w:sz w:val="18"/>
                <w:szCs w:val="18"/>
              </w:rPr>
              <w:t>三星级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1" w:type="dxa"/>
            <w:vAlign w:val="top"/>
          </w:tcPr>
          <w:p>
            <w:pPr>
              <w:widowControl/>
              <w:spacing w:line="360" w:lineRule="atLeast"/>
              <w:jc w:val="center"/>
              <w:rPr>
                <w:color w:val="000000"/>
                <w:sz w:val="18"/>
                <w:szCs w:val="18"/>
              </w:rPr>
            </w:pPr>
            <w:r>
              <w:rPr>
                <w:rFonts w:hint="eastAsia"/>
                <w:color w:val="000000"/>
                <w:sz w:val="18"/>
                <w:szCs w:val="18"/>
              </w:rPr>
              <w:t>室内主要污染物浓度降低比例</w:t>
            </w:r>
          </w:p>
        </w:tc>
        <w:tc>
          <w:tcPr>
            <w:tcW w:w="1471" w:type="dxa"/>
            <w:vAlign w:val="center"/>
          </w:tcPr>
          <w:p>
            <w:pPr>
              <w:widowControl/>
              <w:spacing w:line="360" w:lineRule="atLeast"/>
              <w:jc w:val="center"/>
              <w:rPr>
                <w:color w:val="000000"/>
                <w:szCs w:val="20"/>
              </w:rPr>
            </w:pPr>
            <w:r>
              <w:rPr>
                <w:rFonts w:hint="eastAsia"/>
                <w:color w:val="000000"/>
                <w:sz w:val="18"/>
                <w:szCs w:val="18"/>
              </w:rPr>
              <w:t>10</w:t>
            </w:r>
            <w:r>
              <w:rPr>
                <w:color w:val="000000"/>
                <w:sz w:val="18"/>
                <w:szCs w:val="18"/>
              </w:rPr>
              <w:t>%</w:t>
            </w:r>
          </w:p>
        </w:tc>
        <w:tc>
          <w:tcPr>
            <w:tcW w:w="2944" w:type="dxa"/>
            <w:gridSpan w:val="2"/>
            <w:vAlign w:val="center"/>
          </w:tcPr>
          <w:p>
            <w:pPr>
              <w:widowControl/>
              <w:spacing w:line="360" w:lineRule="atLeast"/>
              <w:jc w:val="center"/>
              <w:rPr>
                <w:color w:val="000000"/>
                <w:szCs w:val="20"/>
              </w:rPr>
            </w:pPr>
            <w:r>
              <w:rPr>
                <w:rFonts w:hint="eastAsia"/>
                <w:color w:val="000000"/>
                <w:sz w:val="18"/>
                <w:szCs w:val="18"/>
              </w:rPr>
              <w:t>20</w:t>
            </w:r>
            <w:r>
              <w:rPr>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71" w:type="dxa"/>
            <w:vAlign w:val="top"/>
          </w:tcPr>
          <w:p>
            <w:pPr>
              <w:widowControl/>
              <w:spacing w:line="360" w:lineRule="atLeast"/>
              <w:jc w:val="center"/>
              <w:rPr>
                <w:color w:val="000000"/>
                <w:sz w:val="18"/>
                <w:szCs w:val="18"/>
              </w:rPr>
            </w:pPr>
            <w:r>
              <w:rPr>
                <w:rFonts w:hint="eastAsia"/>
                <w:color w:val="000000"/>
                <w:sz w:val="18"/>
                <w:szCs w:val="18"/>
              </w:rPr>
              <w:t>节水</w:t>
            </w:r>
            <w:r>
              <w:rPr>
                <w:color w:val="000000"/>
                <w:sz w:val="18"/>
                <w:szCs w:val="18"/>
              </w:rPr>
              <w:t>器具用水效率等级</w:t>
            </w:r>
          </w:p>
        </w:tc>
        <w:tc>
          <w:tcPr>
            <w:tcW w:w="2943" w:type="dxa"/>
            <w:gridSpan w:val="2"/>
            <w:vAlign w:val="center"/>
          </w:tcPr>
          <w:p>
            <w:pPr>
              <w:widowControl/>
              <w:spacing w:line="360" w:lineRule="atLeast"/>
              <w:jc w:val="center"/>
              <w:rPr>
                <w:color w:val="000000"/>
                <w:sz w:val="18"/>
                <w:szCs w:val="18"/>
              </w:rPr>
            </w:pPr>
            <w:r>
              <w:rPr>
                <w:color w:val="000000"/>
                <w:sz w:val="18"/>
                <w:szCs w:val="18"/>
              </w:rPr>
              <w:t>2</w:t>
            </w:r>
            <w:r>
              <w:rPr>
                <w:rFonts w:hint="eastAsia"/>
                <w:color w:val="000000"/>
                <w:sz w:val="18"/>
                <w:szCs w:val="18"/>
              </w:rPr>
              <w:t>级</w:t>
            </w:r>
          </w:p>
        </w:tc>
        <w:tc>
          <w:tcPr>
            <w:tcW w:w="1472" w:type="dxa"/>
            <w:vAlign w:val="center"/>
          </w:tcPr>
          <w:p>
            <w:pPr>
              <w:widowControl/>
              <w:spacing w:line="360" w:lineRule="atLeast"/>
              <w:jc w:val="center"/>
              <w:rPr>
                <w:color w:val="000000"/>
                <w:sz w:val="18"/>
                <w:szCs w:val="18"/>
              </w:rPr>
            </w:pPr>
            <w:r>
              <w:rPr>
                <w:color w:val="000000"/>
                <w:sz w:val="18"/>
                <w:szCs w:val="18"/>
              </w:rPr>
              <w:t>1</w:t>
            </w:r>
            <w:r>
              <w:rPr>
                <w:rFonts w:hint="eastAsia"/>
                <w:color w:val="000000"/>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71" w:type="dxa"/>
            <w:vAlign w:val="top"/>
          </w:tcPr>
          <w:p>
            <w:pPr>
              <w:widowControl/>
              <w:spacing w:line="360" w:lineRule="atLeast"/>
              <w:jc w:val="center"/>
              <w:rPr>
                <w:color w:val="000000"/>
                <w:sz w:val="18"/>
                <w:szCs w:val="18"/>
              </w:rPr>
            </w:pPr>
            <w:r>
              <w:rPr>
                <w:rFonts w:hint="eastAsia"/>
                <w:color w:val="000000"/>
                <w:sz w:val="18"/>
                <w:szCs w:val="18"/>
              </w:rPr>
              <w:t>暖通</w:t>
            </w:r>
            <w:r>
              <w:rPr>
                <w:color w:val="000000"/>
                <w:sz w:val="18"/>
                <w:szCs w:val="18"/>
              </w:rPr>
              <w:t>空调设备和电气产品的</w:t>
            </w:r>
            <w:r>
              <w:rPr>
                <w:rFonts w:hint="eastAsia"/>
                <w:color w:val="000000"/>
                <w:sz w:val="18"/>
                <w:szCs w:val="18"/>
              </w:rPr>
              <w:t>能效</w:t>
            </w:r>
          </w:p>
        </w:tc>
        <w:tc>
          <w:tcPr>
            <w:tcW w:w="2943" w:type="dxa"/>
            <w:gridSpan w:val="2"/>
            <w:vAlign w:val="center"/>
          </w:tcPr>
          <w:p>
            <w:pPr>
              <w:widowControl/>
              <w:spacing w:line="360" w:lineRule="atLeast"/>
              <w:jc w:val="center"/>
              <w:rPr>
                <w:color w:val="000000"/>
                <w:sz w:val="18"/>
                <w:szCs w:val="18"/>
              </w:rPr>
            </w:pPr>
            <w:r>
              <w:rPr>
                <w:rFonts w:hint="eastAsia"/>
                <w:color w:val="000000"/>
                <w:sz w:val="18"/>
                <w:szCs w:val="18"/>
              </w:rPr>
              <w:t>2级</w:t>
            </w:r>
          </w:p>
        </w:tc>
        <w:tc>
          <w:tcPr>
            <w:tcW w:w="1472" w:type="dxa"/>
            <w:vAlign w:val="center"/>
          </w:tcPr>
          <w:p>
            <w:pPr>
              <w:widowControl/>
              <w:spacing w:line="360" w:lineRule="atLeast"/>
              <w:jc w:val="center"/>
              <w:rPr>
                <w:color w:val="000000"/>
                <w:sz w:val="18"/>
                <w:szCs w:val="18"/>
              </w:rPr>
            </w:pPr>
            <w:r>
              <w:rPr>
                <w:rFonts w:hint="eastAsia"/>
                <w:color w:val="000000"/>
                <w:sz w:val="18"/>
                <w:szCs w:val="18"/>
              </w:rPr>
              <w:t>1级</w:t>
            </w:r>
          </w:p>
        </w:tc>
      </w:tr>
    </w:tbl>
    <w:p>
      <w:pPr>
        <w:widowControl/>
        <w:spacing w:line="240" w:lineRule="exact"/>
        <w:jc w:val="left"/>
        <w:rPr>
          <w:color w:val="000000"/>
          <w:sz w:val="15"/>
          <w:szCs w:val="15"/>
        </w:rPr>
      </w:pPr>
      <w:r>
        <w:rPr>
          <w:rFonts w:hint="eastAsia"/>
          <w:color w:val="000000"/>
          <w:sz w:val="15"/>
          <w:szCs w:val="15"/>
        </w:rPr>
        <w:t>注</w:t>
      </w:r>
      <w:r>
        <w:rPr>
          <w:color w:val="000000"/>
          <w:sz w:val="15"/>
          <w:szCs w:val="15"/>
        </w:rPr>
        <w:t>：</w:t>
      </w:r>
      <w:r>
        <w:rPr>
          <w:rFonts w:hint="eastAsia"/>
          <w:color w:val="000000"/>
          <w:sz w:val="15"/>
          <w:szCs w:val="15"/>
        </w:rPr>
        <w:t>室内主要空气污染物包括氨、甲醛、苯、总挥发性有机物、氡、可吸入颗粒物等，其浓度降低基准为现行国家标准《室内空气质量标准》GB/T18883的有关要求。</w:t>
      </w:r>
    </w:p>
    <w:p>
      <w:pPr>
        <w:spacing w:before="100" w:beforeAutospacing="1" w:after="100" w:afterAutospacing="1" w:line="380" w:lineRule="exact"/>
        <w:jc w:val="center"/>
        <w:outlineLvl w:val="0"/>
        <w:rPr>
          <w:rFonts w:eastAsia="方正小标宋简体"/>
          <w:b/>
          <w:bCs/>
          <w:color w:val="000000"/>
          <w:sz w:val="32"/>
          <w:szCs w:val="32"/>
        </w:rPr>
      </w:pPr>
      <w:r>
        <w:rPr>
          <w:color w:val="000000"/>
          <w:kern w:val="0"/>
          <w:szCs w:val="21"/>
        </w:rPr>
        <w:br w:type="page"/>
      </w:r>
      <w:bookmarkStart w:id="38" w:name="_Toc413850350"/>
      <w:bookmarkStart w:id="39" w:name="_Toc413848023"/>
      <w:bookmarkStart w:id="40" w:name="_Toc332983319"/>
      <w:bookmarkStart w:id="41" w:name="_Toc413849583"/>
      <w:bookmarkStart w:id="42" w:name="_Toc349912317"/>
      <w:bookmarkStart w:id="43" w:name="_Toc363714388"/>
      <w:bookmarkStart w:id="44" w:name="_Toc433209283"/>
      <w:r>
        <w:rPr>
          <w:rFonts w:eastAsia="方正小标宋简体"/>
          <w:color w:val="000000"/>
          <w:sz w:val="28"/>
          <w:szCs w:val="20"/>
        </w:rPr>
        <w:t xml:space="preserve">4  </w:t>
      </w:r>
      <w:bookmarkEnd w:id="38"/>
      <w:bookmarkEnd w:id="39"/>
      <w:bookmarkEnd w:id="40"/>
      <w:bookmarkEnd w:id="41"/>
      <w:bookmarkEnd w:id="42"/>
      <w:bookmarkEnd w:id="43"/>
      <w:bookmarkEnd w:id="44"/>
      <w:r>
        <w:rPr>
          <w:rFonts w:hint="eastAsia" w:eastAsia="方正小标宋简体"/>
          <w:color w:val="000000"/>
          <w:sz w:val="28"/>
          <w:szCs w:val="20"/>
        </w:rPr>
        <w:t>设计</w:t>
      </w:r>
    </w:p>
    <w:p>
      <w:pPr>
        <w:snapToGrid w:val="0"/>
        <w:spacing w:before="100" w:beforeAutospacing="1" w:after="100" w:afterAutospacing="1" w:line="380" w:lineRule="exact"/>
        <w:jc w:val="center"/>
        <w:outlineLvl w:val="1"/>
        <w:rPr>
          <w:rFonts w:eastAsia="黑体"/>
          <w:color w:val="000000"/>
          <w:szCs w:val="21"/>
        </w:rPr>
      </w:pPr>
      <w:bookmarkStart w:id="45" w:name="_Toc363714389"/>
      <w:bookmarkStart w:id="46" w:name="_Toc349912318"/>
      <w:bookmarkStart w:id="47" w:name="_Toc413848024"/>
      <w:bookmarkStart w:id="48" w:name="_Toc413849584"/>
      <w:bookmarkStart w:id="49" w:name="_Toc433209284"/>
      <w:bookmarkStart w:id="50" w:name="_Toc332983320"/>
      <w:bookmarkStart w:id="51" w:name="_Toc413850351"/>
      <w:bookmarkStart w:id="52" w:name="_Toc331065715"/>
      <w:r>
        <w:rPr>
          <w:rFonts w:eastAsia="黑体"/>
          <w:b/>
          <w:color w:val="000000"/>
        </w:rPr>
        <w:t>4.1</w:t>
      </w:r>
      <w:r>
        <w:rPr>
          <w:rFonts w:eastAsia="黑体"/>
          <w:color w:val="000000"/>
        </w:rPr>
        <w:t xml:space="preserve">  </w:t>
      </w:r>
      <w:r>
        <w:rPr>
          <w:rFonts w:eastAsia="黑体"/>
          <w:color w:val="000000"/>
          <w:szCs w:val="21"/>
        </w:rPr>
        <w:t>控制项</w:t>
      </w:r>
      <w:bookmarkEnd w:id="45"/>
      <w:bookmarkEnd w:id="46"/>
      <w:bookmarkEnd w:id="47"/>
      <w:bookmarkEnd w:id="48"/>
      <w:bookmarkEnd w:id="49"/>
      <w:bookmarkEnd w:id="50"/>
      <w:bookmarkEnd w:id="51"/>
      <w:bookmarkEnd w:id="52"/>
    </w:p>
    <w:p>
      <w:pPr>
        <w:snapToGrid w:val="0"/>
        <w:spacing w:before="100" w:beforeAutospacing="1" w:after="100" w:afterAutospacing="1" w:line="380" w:lineRule="exact"/>
        <w:jc w:val="center"/>
        <w:outlineLvl w:val="1"/>
        <w:rPr>
          <w:rFonts w:eastAsia="黑体"/>
          <w:color w:val="000000"/>
        </w:rPr>
      </w:pPr>
      <w:r>
        <w:rPr>
          <w:rFonts w:hint="eastAsia" w:eastAsia="黑体"/>
          <w:color w:val="000000"/>
        </w:rPr>
        <w:t>Ⅰ  安全耐久</w:t>
      </w:r>
    </w:p>
    <w:p>
      <w:pPr>
        <w:pStyle w:val="59"/>
        <w:spacing w:line="360" w:lineRule="atLeast"/>
        <w:ind w:firstLine="0" w:firstLineChars="0"/>
        <w:rPr>
          <w:rStyle w:val="52"/>
          <w:color w:val="000000"/>
          <w:sz w:val="21"/>
          <w:szCs w:val="21"/>
          <w:u w:val="none"/>
          <w:bdr w:val="single" w:color="auto" w:sz="4" w:space="0"/>
        </w:rPr>
      </w:pPr>
      <w:bookmarkStart w:id="53" w:name="_Toc413850352"/>
      <w:bookmarkStart w:id="54" w:name="_Toc413848025"/>
      <w:bookmarkStart w:id="55" w:name="_Toc413849585"/>
      <w:r>
        <w:rPr>
          <w:b/>
          <w:bCs/>
          <w:color w:val="000000"/>
          <w:sz w:val="21"/>
          <w:szCs w:val="21"/>
        </w:rPr>
        <w:t>4.1.</w:t>
      </w:r>
      <w:r>
        <w:rPr>
          <w:rFonts w:hint="eastAsia"/>
          <w:b/>
          <w:bCs/>
          <w:color w:val="000000"/>
          <w:sz w:val="21"/>
          <w:szCs w:val="21"/>
        </w:rPr>
        <w:t xml:space="preserve">1  </w:t>
      </w:r>
      <w:r>
        <w:rPr>
          <w:rStyle w:val="52"/>
          <w:rFonts w:hint="eastAsia"/>
          <w:color w:val="000000"/>
          <w:sz w:val="21"/>
          <w:szCs w:val="21"/>
          <w:u w:val="none"/>
        </w:rPr>
        <w:t>建筑室内全装修的玻璃隔断、玻璃护栏等应采用安全玻璃。</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w:t>
      </w:r>
      <w:r>
        <w:rPr>
          <w:b/>
          <w:color w:val="000000"/>
          <w:szCs w:val="21"/>
        </w:rPr>
        <w:t>.</w:t>
      </w:r>
      <w:r>
        <w:rPr>
          <w:rFonts w:hint="eastAsia"/>
          <w:b/>
          <w:color w:val="000000"/>
          <w:szCs w:val="21"/>
        </w:rPr>
        <w:t>1</w:t>
      </w:r>
      <w:r>
        <w:rPr>
          <w:b/>
          <w:color w:val="000000"/>
          <w:szCs w:val="21"/>
        </w:rPr>
        <w:t>.1</w:t>
      </w:r>
      <w:r>
        <w:rPr>
          <w:rFonts w:hint="eastAsia" w:eastAsia="仿宋"/>
          <w:color w:val="000000"/>
          <w:szCs w:val="21"/>
        </w:rPr>
        <w:t>本条适用于各类民用建筑</w:t>
      </w:r>
      <w:r>
        <w:rPr>
          <w:rFonts w:eastAsia="仿宋"/>
          <w:color w:val="000000"/>
          <w:szCs w:val="21"/>
        </w:rPr>
        <w:t>全装修</w:t>
      </w:r>
      <w:r>
        <w:rPr>
          <w:rFonts w:hint="eastAsia" w:eastAsia="仿宋"/>
          <w:color w:val="000000"/>
          <w:szCs w:val="21"/>
        </w:rPr>
        <w:t>的预评价、评价。</w:t>
      </w:r>
    </w:p>
    <w:p>
      <w:pPr>
        <w:pStyle w:val="59"/>
        <w:spacing w:line="360" w:lineRule="atLeast"/>
        <w:ind w:firstLine="420"/>
        <w:rPr>
          <w:rFonts w:eastAsia="仿宋"/>
          <w:color w:val="000000"/>
          <w:sz w:val="21"/>
          <w:szCs w:val="21"/>
        </w:rPr>
      </w:pPr>
      <w:r>
        <w:rPr>
          <w:rFonts w:hint="eastAsia" w:eastAsia="仿宋"/>
          <w:color w:val="000000"/>
          <w:sz w:val="21"/>
          <w:szCs w:val="21"/>
        </w:rPr>
        <w:t>建筑门窗、幕墙、围栏及其配件的力学性能和耐候性能直</w:t>
      </w:r>
    </w:p>
    <w:p>
      <w:pPr>
        <w:pStyle w:val="59"/>
        <w:spacing w:line="360" w:lineRule="atLeast"/>
        <w:ind w:firstLine="0" w:firstLineChars="0"/>
        <w:rPr>
          <w:rFonts w:eastAsia="仿宋"/>
          <w:color w:val="000000"/>
          <w:sz w:val="21"/>
          <w:szCs w:val="21"/>
        </w:rPr>
      </w:pPr>
      <w:r>
        <w:rPr>
          <w:rFonts w:hint="eastAsia" w:eastAsia="仿宋"/>
          <w:color w:val="000000"/>
          <w:sz w:val="21"/>
          <w:szCs w:val="21"/>
        </w:rPr>
        <w:t>接影响安全与使用，其设计与选用应符合有关产品标准及应用技术标准的规定。</w:t>
      </w:r>
    </w:p>
    <w:p>
      <w:pPr>
        <w:pStyle w:val="59"/>
        <w:spacing w:line="360" w:lineRule="atLeast"/>
        <w:ind w:firstLine="420"/>
        <w:rPr>
          <w:rFonts w:eastAsia="仿宋"/>
          <w:color w:val="000000"/>
          <w:sz w:val="21"/>
          <w:szCs w:val="21"/>
        </w:rPr>
      </w:pPr>
      <w:r>
        <w:rPr>
          <w:rFonts w:hint="eastAsia" w:eastAsia="仿宋"/>
          <w:color w:val="000000"/>
          <w:sz w:val="21"/>
          <w:szCs w:val="21"/>
        </w:rPr>
        <w:t>常见的门窗幕墙产品和工程建设标准有：《铝合金门窗》GB/T 8478、《建筑用塑料门》GB/T 28886、《建筑用塑料窗》GB/T 28887、《建筑用节能门窗 第1 部分:铝木复合门窗》GB/T 29734.1、《建筑用节能门窗 第2 部分:铝塑复合门窗》GB/T29734.2、《木门窗》GB/T 29498、《金属与石材幕墙工程技术规范》JGJ 133、《玻</w:t>
      </w:r>
    </w:p>
    <w:p>
      <w:pPr>
        <w:pStyle w:val="59"/>
        <w:spacing w:line="360" w:lineRule="atLeast"/>
        <w:ind w:firstLine="0" w:firstLineChars="0"/>
        <w:rPr>
          <w:rFonts w:eastAsia="仿宋"/>
          <w:color w:val="000000"/>
          <w:sz w:val="21"/>
          <w:szCs w:val="21"/>
        </w:rPr>
      </w:pPr>
      <w:r>
        <w:rPr>
          <w:rFonts w:hint="eastAsia" w:eastAsia="仿宋"/>
          <w:color w:val="000000"/>
          <w:sz w:val="21"/>
          <w:szCs w:val="21"/>
        </w:rPr>
        <w:t>璃幕墙工程技术规范》JGJ 102 等。</w:t>
      </w:r>
    </w:p>
    <w:p>
      <w:pPr>
        <w:pStyle w:val="59"/>
        <w:spacing w:line="360" w:lineRule="atLeast"/>
        <w:ind w:firstLine="420"/>
        <w:rPr>
          <w:rFonts w:eastAsia="仿宋"/>
          <w:color w:val="000000"/>
          <w:sz w:val="21"/>
          <w:szCs w:val="21"/>
        </w:rPr>
      </w:pPr>
      <w:r>
        <w:rPr>
          <w:rFonts w:hint="eastAsia" w:eastAsia="仿宋"/>
          <w:color w:val="000000"/>
          <w:sz w:val="21"/>
          <w:szCs w:val="21"/>
        </w:rPr>
        <w:t>当外围护结构、装饰装修部品构件、家具采用玻璃时还需特别注意防撞击。根据国家现行标准《建筑用安全玻璃》GB 15763、《建筑玻璃应用技术规程》JGJ 113的有关规定以及住房城乡建设部《建筑安全玻璃管理规定》（2014）对建筑用安全玻璃使用的建议，人体撞击建筑中的玻璃制品并受到伤害的主要原因是缺少足够的安全防护。为了尽量减少建筑用玻璃制品在受到冲击时对人体造成划伤、割伤等，在建筑中使用玻璃制品时需尽可能地采取下列措施：</w:t>
      </w:r>
    </w:p>
    <w:p>
      <w:pPr>
        <w:pStyle w:val="59"/>
        <w:spacing w:line="360" w:lineRule="atLeast"/>
        <w:ind w:firstLine="420"/>
        <w:rPr>
          <w:rFonts w:eastAsia="仿宋"/>
          <w:color w:val="000000"/>
          <w:sz w:val="21"/>
          <w:szCs w:val="21"/>
        </w:rPr>
      </w:pPr>
      <w:r>
        <w:rPr>
          <w:rFonts w:hint="eastAsia" w:eastAsia="仿宋"/>
          <w:color w:val="000000"/>
          <w:sz w:val="21"/>
          <w:szCs w:val="21"/>
        </w:rPr>
        <w:t>1)选择安全玻璃制品时，充分考虑玻璃的种类、结构、厚度、尺寸，尤其是合理选择安全玻璃制品霰弹袋冲击试验的冲击历程和冲击高度级别等；</w:t>
      </w:r>
    </w:p>
    <w:p>
      <w:pPr>
        <w:pStyle w:val="59"/>
        <w:spacing w:line="360" w:lineRule="atLeast"/>
        <w:ind w:firstLine="420"/>
        <w:rPr>
          <w:rFonts w:eastAsia="仿宋"/>
          <w:color w:val="000000"/>
          <w:sz w:val="21"/>
          <w:szCs w:val="21"/>
        </w:rPr>
      </w:pPr>
      <w:r>
        <w:rPr>
          <w:rFonts w:hint="eastAsia" w:eastAsia="仿宋"/>
          <w:color w:val="000000"/>
          <w:sz w:val="21"/>
          <w:szCs w:val="21"/>
        </w:rPr>
        <w:t>2)对关键场所的安全玻璃制品采取必要的其他防护；</w:t>
      </w:r>
    </w:p>
    <w:p>
      <w:pPr>
        <w:pStyle w:val="59"/>
        <w:spacing w:line="360" w:lineRule="atLeast"/>
        <w:ind w:firstLine="420"/>
        <w:rPr>
          <w:rFonts w:eastAsia="仿宋"/>
          <w:color w:val="000000"/>
          <w:sz w:val="21"/>
          <w:szCs w:val="21"/>
        </w:rPr>
      </w:pPr>
      <w:r>
        <w:rPr>
          <w:rFonts w:hint="eastAsia" w:eastAsia="仿宋"/>
          <w:color w:val="000000"/>
          <w:sz w:val="21"/>
          <w:szCs w:val="21"/>
        </w:rPr>
        <w:t>3)关键场所的安全玻璃制品设置容易识别的标识。</w:t>
      </w:r>
    </w:p>
    <w:p>
      <w:pPr>
        <w:pStyle w:val="59"/>
        <w:spacing w:line="360" w:lineRule="atLeast"/>
        <w:ind w:firstLine="420"/>
        <w:rPr>
          <w:rFonts w:eastAsia="仿宋"/>
          <w:color w:val="000000"/>
          <w:sz w:val="21"/>
          <w:szCs w:val="21"/>
        </w:rPr>
      </w:pPr>
      <w:r>
        <w:rPr>
          <w:rFonts w:hint="eastAsia" w:eastAsia="仿宋"/>
          <w:color w:val="000000"/>
          <w:sz w:val="21"/>
          <w:szCs w:val="21"/>
        </w:rPr>
        <w:t>钢化玻璃也属于安全玻璃，但是钢化玻璃自爆伤人的情况时有发生。淋浴房、室内玻璃隔断、玻璃护栏等如果采用钢化玻璃，一旦自爆，将可能产生严重后果。因此，在这些部位应采用夹层玻璃。</w:t>
      </w:r>
    </w:p>
    <w:p>
      <w:pPr>
        <w:pStyle w:val="59"/>
        <w:spacing w:line="360" w:lineRule="atLeast"/>
        <w:ind w:firstLine="420"/>
        <w:rPr>
          <w:rFonts w:eastAsia="仿宋"/>
          <w:color w:val="000000"/>
          <w:sz w:val="21"/>
          <w:szCs w:val="21"/>
        </w:rPr>
      </w:pPr>
      <w:r>
        <w:rPr>
          <w:rFonts w:hint="eastAsia" w:eastAsia="仿宋"/>
          <w:color w:val="000000"/>
          <w:sz w:val="21"/>
          <w:szCs w:val="21"/>
        </w:rPr>
        <w:t>本条的评价方法为：预评价查阅设计文件、施工图、产品选型承诺等；评价查阅施工图、材料决算清单、产品说明书、验收记录、性能测试和试验报告，必要时现场核查。</w:t>
      </w:r>
    </w:p>
    <w:p>
      <w:pPr>
        <w:pStyle w:val="59"/>
        <w:spacing w:line="360" w:lineRule="atLeast"/>
        <w:ind w:firstLine="0" w:firstLineChars="0"/>
        <w:rPr>
          <w:rStyle w:val="52"/>
          <w:color w:val="000000"/>
          <w:sz w:val="21"/>
          <w:szCs w:val="21"/>
          <w:u w:val="none"/>
          <w:bdr w:val="single" w:color="auto" w:sz="4" w:space="0"/>
        </w:rPr>
      </w:pPr>
      <w:r>
        <w:rPr>
          <w:b/>
          <w:bCs/>
          <w:color w:val="000000"/>
          <w:sz w:val="21"/>
          <w:szCs w:val="21"/>
        </w:rPr>
        <w:t>4.1.</w:t>
      </w:r>
      <w:r>
        <w:rPr>
          <w:rFonts w:hint="eastAsia"/>
          <w:b/>
          <w:bCs/>
          <w:color w:val="000000"/>
          <w:sz w:val="21"/>
          <w:szCs w:val="21"/>
        </w:rPr>
        <w:t>2</w:t>
      </w:r>
      <w:r>
        <w:rPr>
          <w:rStyle w:val="52"/>
          <w:rFonts w:hint="eastAsia"/>
          <w:color w:val="000000"/>
          <w:sz w:val="21"/>
          <w:szCs w:val="21"/>
          <w:u w:val="none"/>
        </w:rPr>
        <w:t xml:space="preserve"> 卫生间、浴室的地面应设置防水层，墙面、顶棚应设置防潮层。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 xml:space="preserve">4.1.2  </w:t>
      </w:r>
      <w:r>
        <w:rPr>
          <w:rFonts w:hint="eastAsia" w:eastAsia="仿宋"/>
          <w:color w:val="000000"/>
          <w:szCs w:val="21"/>
        </w:rPr>
        <w:t>本条适用于各类民用建筑全装修的预评价、评价。</w:t>
      </w:r>
    </w:p>
    <w:p>
      <w:pPr>
        <w:widowControl/>
        <w:spacing w:line="360" w:lineRule="atLeast"/>
        <w:ind w:firstLine="420" w:firstLineChars="200"/>
        <w:rPr>
          <w:rFonts w:eastAsia="仿宋"/>
          <w:color w:val="000000"/>
          <w:szCs w:val="21"/>
        </w:rPr>
      </w:pPr>
      <w:r>
        <w:rPr>
          <w:rFonts w:hint="eastAsia" w:eastAsia="仿宋"/>
          <w:color w:val="000000"/>
          <w:szCs w:val="21"/>
        </w:rPr>
        <w:t>本条对卫生间、浴室等有水房间的防水进行了规定。为避免水蒸气透过墙体或顶棚，使隔壁房间或住户受潮气影响，导致诸如墙体发霉、破坏装修效果（壁纸脱落、发霉，涂料层起鼓、粉化，地板变形等）等情况发生，要求所有卫生间、浴室墙、地面做防水层，墙面、顶棚均做防潮处理。防水层和防潮层设计应符合现行行业标准《住宅室内防水工程技术规范》JGJ298的规定。</w:t>
      </w:r>
    </w:p>
    <w:p>
      <w:pPr>
        <w:widowControl/>
        <w:spacing w:line="360" w:lineRule="atLeast"/>
        <w:ind w:firstLine="420" w:firstLineChars="200"/>
        <w:rPr>
          <w:rStyle w:val="52"/>
          <w:rFonts w:eastAsia="仿宋"/>
          <w:color w:val="000000"/>
          <w:szCs w:val="21"/>
          <w:u w:val="none"/>
        </w:rPr>
      </w:pPr>
      <w:r>
        <w:rPr>
          <w:rFonts w:hint="eastAsia" w:eastAsia="仿宋"/>
          <w:color w:val="000000"/>
          <w:szCs w:val="21"/>
        </w:rPr>
        <w:t>本条的评价方法为：预评价查阅相关设计文件、防水和防潮措施说明；评价查阅相关竣工图、防水和防潮措施说明。</w:t>
      </w:r>
    </w:p>
    <w:p>
      <w:pPr>
        <w:pStyle w:val="59"/>
        <w:spacing w:line="360" w:lineRule="atLeast"/>
        <w:ind w:firstLine="0" w:firstLineChars="0"/>
        <w:rPr>
          <w:rStyle w:val="52"/>
          <w:color w:val="000000"/>
          <w:sz w:val="21"/>
          <w:szCs w:val="21"/>
          <w:u w:val="none"/>
          <w:bdr w:val="single" w:color="auto" w:sz="4" w:space="0"/>
        </w:rPr>
      </w:pPr>
      <w:r>
        <w:rPr>
          <w:b/>
          <w:bCs/>
          <w:color w:val="000000"/>
          <w:sz w:val="21"/>
          <w:szCs w:val="21"/>
        </w:rPr>
        <w:t xml:space="preserve">4.1.3 </w:t>
      </w:r>
      <w:r>
        <w:rPr>
          <w:rStyle w:val="52"/>
          <w:rFonts w:hint="eastAsia"/>
          <w:color w:val="000000"/>
          <w:sz w:val="21"/>
          <w:szCs w:val="21"/>
          <w:u w:val="none"/>
        </w:rPr>
        <w:t>不得</w:t>
      </w:r>
      <w:r>
        <w:rPr>
          <w:rStyle w:val="52"/>
          <w:color w:val="000000"/>
          <w:sz w:val="21"/>
          <w:szCs w:val="21"/>
          <w:u w:val="none"/>
        </w:rPr>
        <w:t>擅自拆改或占用公共部位的门厅</w:t>
      </w:r>
      <w:r>
        <w:rPr>
          <w:rStyle w:val="52"/>
          <w:rFonts w:hint="eastAsia"/>
          <w:color w:val="000000"/>
          <w:sz w:val="21"/>
          <w:szCs w:val="21"/>
          <w:u w:val="none"/>
        </w:rPr>
        <w:t>、</w:t>
      </w:r>
      <w:r>
        <w:rPr>
          <w:rStyle w:val="52"/>
          <w:color w:val="000000"/>
          <w:sz w:val="21"/>
          <w:szCs w:val="21"/>
          <w:u w:val="none"/>
        </w:rPr>
        <w:t>走道或楼梯间</w:t>
      </w:r>
      <w:r>
        <w:rPr>
          <w:rStyle w:val="52"/>
          <w:rFonts w:hint="eastAsia"/>
          <w:color w:val="000000"/>
          <w:sz w:val="21"/>
          <w:szCs w:val="21"/>
          <w:u w:val="none"/>
        </w:rPr>
        <w:t>。走廊、疏散通道等通行空间应满足紧急疏散、应急救护等要求，且应保持畅通。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4.1.</w:t>
      </w:r>
      <w:r>
        <w:rPr>
          <w:b/>
          <w:color w:val="000000"/>
          <w:szCs w:val="21"/>
        </w:rPr>
        <w:t>3</w:t>
      </w:r>
      <w:r>
        <w:rPr>
          <w:rFonts w:hint="eastAsia"/>
          <w:b/>
          <w:color w:val="000000"/>
          <w:szCs w:val="21"/>
        </w:rPr>
        <w:t xml:space="preserve">  </w:t>
      </w:r>
      <w:r>
        <w:rPr>
          <w:rFonts w:hint="eastAsia" w:eastAsia="仿宋"/>
          <w:color w:val="000000"/>
          <w:szCs w:val="21"/>
        </w:rPr>
        <w:t>本条适用于各类民用建筑全装修的预评价、评价。</w:t>
      </w:r>
    </w:p>
    <w:p>
      <w:pPr>
        <w:widowControl/>
        <w:spacing w:line="360" w:lineRule="atLeast"/>
        <w:ind w:firstLine="420" w:firstLineChars="200"/>
        <w:rPr>
          <w:rFonts w:eastAsia="仿宋"/>
          <w:color w:val="000000"/>
          <w:szCs w:val="21"/>
        </w:rPr>
      </w:pPr>
      <w:r>
        <w:rPr>
          <w:rFonts w:hint="eastAsia" w:eastAsia="仿宋"/>
          <w:color w:val="000000"/>
          <w:szCs w:val="21"/>
        </w:rPr>
        <w:t>有些装饰</w:t>
      </w:r>
      <w:r>
        <w:rPr>
          <w:rFonts w:eastAsia="仿宋"/>
          <w:color w:val="000000"/>
          <w:szCs w:val="21"/>
        </w:rPr>
        <w:t>装修工程中为</w:t>
      </w:r>
      <w:r>
        <w:rPr>
          <w:rFonts w:hint="eastAsia" w:eastAsia="仿宋"/>
          <w:color w:val="000000"/>
          <w:szCs w:val="21"/>
        </w:rPr>
        <w:t>了</w:t>
      </w:r>
      <w:r>
        <w:rPr>
          <w:rFonts w:eastAsia="仿宋"/>
          <w:color w:val="000000"/>
          <w:szCs w:val="21"/>
        </w:rPr>
        <w:t>扩大使用面积，有的减少共用部分安全疏散口数量延长室内</w:t>
      </w:r>
      <w:r>
        <w:rPr>
          <w:rFonts w:hint="eastAsia" w:eastAsia="仿宋"/>
          <w:color w:val="000000"/>
          <w:szCs w:val="21"/>
        </w:rPr>
        <w:t>至</w:t>
      </w:r>
      <w:r>
        <w:rPr>
          <w:rFonts w:eastAsia="仿宋"/>
          <w:color w:val="000000"/>
          <w:szCs w:val="21"/>
        </w:rPr>
        <w:t>疏散口距离，有的擅自拆改、占用部分门厅、走道和楼梯间等，这些行为严重影响了消防安全。</w:t>
      </w:r>
    </w:p>
    <w:p>
      <w:pPr>
        <w:widowControl/>
        <w:spacing w:line="360" w:lineRule="atLeast"/>
        <w:ind w:firstLine="420" w:firstLineChars="200"/>
        <w:rPr>
          <w:rFonts w:eastAsia="仿宋"/>
          <w:color w:val="000000"/>
          <w:szCs w:val="21"/>
        </w:rPr>
      </w:pPr>
      <w:r>
        <w:rPr>
          <w:rFonts w:hint="eastAsia" w:eastAsia="仿宋"/>
          <w:color w:val="000000"/>
          <w:szCs w:val="21"/>
        </w:rPr>
        <w:t>在发生突发事件时，疏散和救护顺畅非常重要，必须在场地和建筑设计中考虑到对策和措施。建筑应根据其高度、规模、使用功能和耐火等级等因素合理设置安全疏散和避难设施。安全出口和疏散门的位置、数量、宽度及疏散楼梯间的形式，应满足人员安全疏散的要求。走廊、疏散通道等应满足现行国家标准《建筑设计防火规范》GB50016、《防灾避难场所设计规范》GB51143等对安全疏散和避难、应急交通的相关要求。本条重在强调保持通行空间路线畅通、视线清晰，不应有阳台花池、机电箱等凸向走廊、疏散通道的设计，防止对人员活动、步行交通、消防疏散埋下安全隐患。</w:t>
      </w:r>
    </w:p>
    <w:p>
      <w:pPr>
        <w:widowControl/>
        <w:spacing w:line="360" w:lineRule="atLeast"/>
        <w:ind w:firstLine="420" w:firstLineChars="200"/>
        <w:rPr>
          <w:rFonts w:eastAsia="仿宋"/>
          <w:color w:val="000000"/>
          <w:szCs w:val="21"/>
        </w:rPr>
      </w:pPr>
      <w:r>
        <w:rPr>
          <w:rFonts w:hint="eastAsia" w:eastAsia="仿宋"/>
          <w:color w:val="000000"/>
          <w:szCs w:val="21"/>
        </w:rPr>
        <w:t>本条的评价方法为：预评价查阅相关设计文件；评价查阅相关竣工图、相关管理规定。</w:t>
      </w:r>
    </w:p>
    <w:p>
      <w:pPr>
        <w:pStyle w:val="59"/>
        <w:spacing w:line="360" w:lineRule="atLeast"/>
        <w:ind w:firstLine="0" w:firstLineChars="0"/>
        <w:rPr>
          <w:rStyle w:val="52"/>
          <w:color w:val="000000"/>
          <w:sz w:val="21"/>
          <w:szCs w:val="21"/>
          <w:u w:val="none"/>
        </w:rPr>
      </w:pPr>
      <w:r>
        <w:rPr>
          <w:b/>
          <w:bCs/>
          <w:color w:val="000000"/>
          <w:sz w:val="21"/>
          <w:szCs w:val="21"/>
        </w:rPr>
        <w:t>4.1.4</w:t>
      </w:r>
      <w:r>
        <w:rPr>
          <w:rFonts w:hint="eastAsia"/>
          <w:b/>
          <w:bCs/>
          <w:color w:val="000000"/>
          <w:sz w:val="21"/>
          <w:szCs w:val="21"/>
        </w:rPr>
        <w:t xml:space="preserve">  </w:t>
      </w:r>
      <w:r>
        <w:rPr>
          <w:rStyle w:val="52"/>
          <w:color w:val="000000"/>
          <w:sz w:val="21"/>
          <w:szCs w:val="21"/>
          <w:u w:val="none"/>
        </w:rPr>
        <w:t>室内</w:t>
      </w:r>
      <w:r>
        <w:rPr>
          <w:rStyle w:val="52"/>
          <w:rFonts w:hint="eastAsia"/>
          <w:color w:val="000000"/>
          <w:sz w:val="21"/>
          <w:szCs w:val="21"/>
          <w:u w:val="none"/>
        </w:rPr>
        <w:t>全</w:t>
      </w:r>
      <w:r>
        <w:rPr>
          <w:rStyle w:val="52"/>
          <w:color w:val="000000"/>
          <w:sz w:val="21"/>
          <w:szCs w:val="21"/>
          <w:u w:val="none"/>
        </w:rPr>
        <w:t>装修</w:t>
      </w:r>
      <w:r>
        <w:rPr>
          <w:rStyle w:val="52"/>
          <w:rFonts w:hint="eastAsia"/>
          <w:color w:val="000000"/>
          <w:sz w:val="21"/>
          <w:szCs w:val="21"/>
          <w:u w:val="none"/>
        </w:rPr>
        <w:t>设计不应</w:t>
      </w:r>
      <w:r>
        <w:rPr>
          <w:rStyle w:val="52"/>
          <w:color w:val="000000"/>
          <w:sz w:val="21"/>
          <w:szCs w:val="21"/>
          <w:u w:val="none"/>
        </w:rPr>
        <w:t>改变原设计防火分区，不应减少消防安全出口、疏散出口和疏散走道的净宽度和数量。</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4.1.</w:t>
      </w:r>
      <w:r>
        <w:rPr>
          <w:b/>
          <w:color w:val="000000"/>
          <w:szCs w:val="21"/>
        </w:rPr>
        <w:t>4</w:t>
      </w:r>
      <w:r>
        <w:rPr>
          <w:rFonts w:hint="eastAsia"/>
          <w:b/>
          <w:color w:val="000000"/>
          <w:szCs w:val="21"/>
        </w:rPr>
        <w:t xml:space="preserve">  </w:t>
      </w:r>
      <w:r>
        <w:rPr>
          <w:rFonts w:hint="eastAsia" w:eastAsia="仿宋"/>
          <w:color w:val="000000"/>
          <w:szCs w:val="21"/>
        </w:rPr>
        <w:t>本条适用于各类民用建筑全装修的预评价、评价。</w:t>
      </w:r>
    </w:p>
    <w:p>
      <w:pPr>
        <w:widowControl/>
        <w:spacing w:line="360" w:lineRule="atLeast"/>
        <w:rPr>
          <w:rFonts w:eastAsia="仿宋"/>
          <w:color w:val="000000"/>
          <w:szCs w:val="21"/>
        </w:rPr>
      </w:pPr>
      <w:r>
        <w:rPr>
          <w:rFonts w:hint="eastAsia" w:eastAsia="仿宋"/>
          <w:color w:val="000000"/>
          <w:szCs w:val="21"/>
        </w:rPr>
        <w:t>有些装饰装修工程中为了扩大使用面积，有的减少共用部分安全疏收口数量，延长室内至疏散出口距离，有的擅自拆改、占用公用部分门厅、走道和楼梯间等,这些行为严重影响了消防安全。因此作本条文规定。</w:t>
      </w:r>
    </w:p>
    <w:p>
      <w:pPr>
        <w:widowControl/>
        <w:spacing w:line="360" w:lineRule="atLeast"/>
        <w:ind w:firstLine="420" w:firstLineChars="200"/>
        <w:rPr>
          <w:rFonts w:eastAsia="仿宋"/>
          <w:color w:val="000000"/>
          <w:szCs w:val="21"/>
        </w:rPr>
      </w:pPr>
      <w:r>
        <w:rPr>
          <w:rFonts w:hint="eastAsia" w:eastAsia="仿宋"/>
          <w:color w:val="000000"/>
          <w:szCs w:val="21"/>
        </w:rPr>
        <w:t>本条的评价方法为:预评价查阅设计图纸、经</w:t>
      </w:r>
      <w:r>
        <w:rPr>
          <w:rFonts w:eastAsia="仿宋"/>
          <w:color w:val="000000"/>
          <w:szCs w:val="21"/>
        </w:rPr>
        <w:t>消防验收</w:t>
      </w:r>
      <w:r>
        <w:rPr>
          <w:rFonts w:hint="eastAsia" w:eastAsia="仿宋"/>
          <w:color w:val="000000"/>
          <w:szCs w:val="21"/>
        </w:rPr>
        <w:t>合格的图纸和文件；预评价与评价方法一致</w:t>
      </w:r>
      <w:r>
        <w:rPr>
          <w:rFonts w:eastAsia="仿宋"/>
          <w:color w:val="000000"/>
          <w:szCs w:val="21"/>
        </w:rPr>
        <w:t>。</w:t>
      </w:r>
    </w:p>
    <w:p>
      <w:pPr>
        <w:pStyle w:val="59"/>
        <w:spacing w:line="360" w:lineRule="atLeast"/>
        <w:ind w:firstLine="0" w:firstLineChars="0"/>
        <w:rPr>
          <w:rStyle w:val="52"/>
          <w:color w:val="000000"/>
          <w:sz w:val="21"/>
          <w:szCs w:val="21"/>
          <w:u w:val="none"/>
        </w:rPr>
      </w:pPr>
      <w:r>
        <w:rPr>
          <w:b/>
          <w:bCs/>
          <w:color w:val="000000"/>
          <w:sz w:val="21"/>
          <w:szCs w:val="21"/>
        </w:rPr>
        <w:t>4.1.5</w:t>
      </w:r>
      <w:r>
        <w:rPr>
          <w:rFonts w:hint="eastAsia"/>
          <w:b/>
          <w:bCs/>
          <w:color w:val="000000"/>
          <w:sz w:val="21"/>
          <w:szCs w:val="21"/>
        </w:rPr>
        <w:t xml:space="preserve"> </w:t>
      </w:r>
      <w:r>
        <w:rPr>
          <w:rStyle w:val="52"/>
          <w:rFonts w:hint="eastAsia"/>
          <w:color w:val="000000"/>
          <w:sz w:val="21"/>
          <w:szCs w:val="21"/>
          <w:u w:val="none"/>
        </w:rPr>
        <w:t>应具有安全防护的警示和引导标识系统。</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4.1.</w:t>
      </w:r>
      <w:r>
        <w:rPr>
          <w:b/>
          <w:color w:val="000000"/>
          <w:szCs w:val="21"/>
        </w:rPr>
        <w:t>5</w:t>
      </w:r>
      <w:r>
        <w:rPr>
          <w:rFonts w:hint="eastAsia"/>
          <w:b/>
          <w:color w:val="000000"/>
          <w:szCs w:val="21"/>
        </w:rPr>
        <w:t xml:space="preserve">  </w:t>
      </w:r>
      <w:r>
        <w:rPr>
          <w:rFonts w:hint="eastAsia" w:eastAsia="仿宋"/>
          <w:color w:val="000000"/>
          <w:szCs w:val="21"/>
        </w:rPr>
        <w:t>本条适用于各类民用建筑全装修的预评价、评价。</w:t>
      </w:r>
    </w:p>
    <w:p>
      <w:pPr>
        <w:widowControl/>
        <w:spacing w:line="360" w:lineRule="atLeast"/>
        <w:ind w:firstLine="420" w:firstLineChars="200"/>
        <w:rPr>
          <w:rFonts w:eastAsia="仿宋"/>
          <w:color w:val="000000"/>
          <w:szCs w:val="21"/>
        </w:rPr>
      </w:pPr>
      <w:r>
        <w:rPr>
          <w:rFonts w:hint="eastAsia" w:eastAsia="仿宋"/>
          <w:color w:val="000000"/>
          <w:szCs w:val="21"/>
        </w:rPr>
        <w:t>根据国家标准《安全标志及其使用导则》GB2894-2008，安全标志分为禁止标志、警告标志、指令标志和提示标志四类。本条所述是指具有警示和引导功能的安全标志，应在场地及建筑公共场所和其他有必要提醒人们注意安全的场所显著位置上设置。</w:t>
      </w:r>
    </w:p>
    <w:p>
      <w:pPr>
        <w:widowControl/>
        <w:spacing w:line="360" w:lineRule="atLeast"/>
        <w:ind w:firstLine="420" w:firstLineChars="200"/>
        <w:rPr>
          <w:rFonts w:eastAsia="仿宋"/>
          <w:color w:val="000000"/>
          <w:szCs w:val="21"/>
        </w:rPr>
      </w:pPr>
      <w:r>
        <w:rPr>
          <w:rFonts w:hint="eastAsia" w:eastAsia="仿宋"/>
          <w:color w:val="000000"/>
          <w:szCs w:val="21"/>
        </w:rPr>
        <w:t>设置显著、醒目的安全警示标志，能够起到提醒建筑使用者注意安全的作用。警示标志一般设置于人员流动大的场所，青少年和儿童经常活动的场所，容易碰撞、夹伤、湿滑及危险的部位和场所等。比如禁止攀爬、禁止倚靠、禁止伸出窗外、禁止抛物、注意安全、当心碰头、当心夹手、当心车辆、当心坠落、当心滑倒、当心落水等。</w:t>
      </w:r>
    </w:p>
    <w:p>
      <w:pPr>
        <w:widowControl/>
        <w:spacing w:line="360" w:lineRule="atLeast"/>
        <w:ind w:firstLine="420" w:firstLineChars="200"/>
        <w:rPr>
          <w:rFonts w:eastAsia="仿宋"/>
          <w:color w:val="000000"/>
          <w:szCs w:val="21"/>
        </w:rPr>
      </w:pPr>
      <w:r>
        <w:rPr>
          <w:rFonts w:hint="eastAsia" w:eastAsia="仿宋"/>
          <w:color w:val="000000"/>
          <w:szCs w:val="21"/>
        </w:rPr>
        <w:t>设置安全引导指示标志，包括紧急出口标志、避险处标志、应急避难场所标志、急救点标志、报警点标志等，以及其他促进建筑安全使用的引导标志等。比如紧急出口标志，一般设置于便于安全疏散的紧急出口处，结合方向箭头设置于通向紧急出口的通道、楼梯口等处。</w:t>
      </w:r>
    </w:p>
    <w:p>
      <w:pPr>
        <w:widowControl/>
        <w:spacing w:line="360" w:lineRule="atLeast"/>
        <w:ind w:firstLine="420" w:firstLineChars="200"/>
        <w:rPr>
          <w:rFonts w:eastAsia="仿宋"/>
          <w:color w:val="000000"/>
          <w:szCs w:val="21"/>
        </w:rPr>
      </w:pPr>
      <w:r>
        <w:rPr>
          <w:rFonts w:hint="eastAsia" w:eastAsia="仿宋"/>
          <w:color w:val="000000"/>
          <w:szCs w:val="21"/>
        </w:rPr>
        <w:t>本条的评价方法为：预评价查阅标识系统设计与设置说明文件；评价查阅标识系统设计与设置说明文件、相关影像材料等。</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Ⅱ  健康舒适</w:t>
      </w:r>
    </w:p>
    <w:p>
      <w:pPr>
        <w:pStyle w:val="59"/>
        <w:spacing w:line="360" w:lineRule="exac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.1.6</w:t>
      </w:r>
      <w:r>
        <w:rPr>
          <w:rFonts w:hint="eastAsia"/>
          <w:b/>
          <w:bCs/>
          <w:color w:val="000000"/>
          <w:sz w:val="21"/>
          <w:szCs w:val="21"/>
        </w:rPr>
        <w:t xml:space="preserve">  </w:t>
      </w:r>
      <w:r>
        <w:rPr>
          <w:rStyle w:val="52"/>
          <w:rFonts w:hint="eastAsia"/>
          <w:color w:val="000000"/>
          <w:sz w:val="21"/>
          <w:szCs w:val="21"/>
          <w:u w:val="none"/>
        </w:rPr>
        <w:t>室内空气中的氨、甲醛、苯、总挥发性有机物、氡等污染物浓度应符合现行国家标准《室内空气质量标准》GB/T18883的有关规定。建筑室内和建筑主出入口处应禁止吸烟，并应在醒目位置设置禁烟标志。</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4.1.</w:t>
      </w:r>
      <w:r>
        <w:rPr>
          <w:b/>
          <w:color w:val="000000"/>
          <w:szCs w:val="21"/>
        </w:rPr>
        <w:t>6</w:t>
      </w:r>
      <w:r>
        <w:rPr>
          <w:rFonts w:hint="eastAsia"/>
          <w:b/>
          <w:color w:val="000000"/>
          <w:szCs w:val="21"/>
        </w:rPr>
        <w:t xml:space="preserve"> </w:t>
      </w:r>
      <w:r>
        <w:rPr>
          <w:rFonts w:hint="eastAsia" w:eastAsia="仿宋"/>
          <w:color w:val="000000"/>
          <w:szCs w:val="21"/>
        </w:rPr>
        <w:t>本条适用于各类民用建筑的预评价、评价。</w:t>
      </w:r>
    </w:p>
    <w:p>
      <w:pPr>
        <w:widowControl/>
        <w:spacing w:line="360" w:lineRule="atLeast"/>
        <w:ind w:firstLine="420" w:firstLineChars="200"/>
        <w:rPr>
          <w:rFonts w:eastAsia="仿宋"/>
          <w:color w:val="000000"/>
          <w:szCs w:val="21"/>
        </w:rPr>
      </w:pPr>
      <w:r>
        <w:rPr>
          <w:rFonts w:hint="eastAsia" w:eastAsia="仿宋"/>
          <w:color w:val="000000"/>
          <w:szCs w:val="21"/>
        </w:rPr>
        <w:t>建筑室内空气中的氨、甲醛、苯、总挥发性有机物、氡等污染物以及吸烟（包括二手烟）对人体的危害已得到普遍认识，通过建筑内污染物浓度控制及禁烟控制，是实现绿色建筑的基本要求。</w:t>
      </w:r>
    </w:p>
    <w:p>
      <w:pPr>
        <w:widowControl/>
        <w:spacing w:line="360" w:lineRule="atLeast"/>
        <w:ind w:firstLine="420" w:firstLineChars="200"/>
        <w:rPr>
          <w:rFonts w:eastAsia="仿宋"/>
          <w:color w:val="000000"/>
          <w:szCs w:val="21"/>
        </w:rPr>
      </w:pPr>
      <w:r>
        <w:rPr>
          <w:rFonts w:hint="eastAsia" w:eastAsia="仿宋"/>
          <w:color w:val="000000"/>
          <w:szCs w:val="21"/>
        </w:rPr>
        <w:t>在项目实施过程中，即使所使用的装修材料、家具制品均满足各自污染物限量控制标准，但装修后多种类或大量材料制品的叠加使用，仍可能造成室内空气污染物浓度超标，控制空气中各类污染物的浓度指标是保障建筑使用者健康的基本前提。项目在设计时即应采取措施，对室内空气污染物浓度进行预评估，预测工程建成后室内空气污染物的浓度情况，指导建筑材料的选用和优化。</w:t>
      </w:r>
    </w:p>
    <w:p>
      <w:pPr>
        <w:widowControl/>
        <w:spacing w:line="360" w:lineRule="atLeast"/>
        <w:ind w:firstLine="420" w:firstLineChars="200"/>
        <w:rPr>
          <w:rFonts w:eastAsia="仿宋"/>
          <w:color w:val="000000"/>
          <w:szCs w:val="21"/>
        </w:rPr>
      </w:pPr>
      <w:r>
        <w:rPr>
          <w:rFonts w:hint="eastAsia" w:eastAsia="仿宋"/>
          <w:color w:val="000000"/>
          <w:szCs w:val="21"/>
        </w:rPr>
        <w:t>吸烟及二手烟对人健康同样会造成较大的危害，目前国内一些城市已经发布了控制吸烟条例，如《北京市控制吸烟条例》、</w:t>
      </w:r>
    </w:p>
    <w:p>
      <w:pPr>
        <w:widowControl/>
        <w:spacing w:line="360" w:lineRule="atLeast"/>
        <w:rPr>
          <w:rFonts w:eastAsia="仿宋"/>
          <w:color w:val="000000"/>
          <w:szCs w:val="21"/>
        </w:rPr>
      </w:pPr>
      <w:r>
        <w:rPr>
          <w:rFonts w:hint="eastAsia" w:eastAsia="仿宋"/>
          <w:color w:val="000000"/>
          <w:szCs w:val="21"/>
        </w:rPr>
        <w:t>《上海市公共场所控制吸烟条例》、《广州市控制吸烟条例》、《天津市控制吸烟条例》、《杭州市公共场所控制吸烟条例》、《青岛市控制吸烟条例》等等。因此，本条规定建筑室内和建筑主出入口处禁止吸烟，并设置禁烟标志。本条所述的建筑室内，主要指的是公共建筑室内和住宅建筑内的公共区域。</w:t>
      </w:r>
    </w:p>
    <w:p>
      <w:pPr>
        <w:widowControl/>
        <w:spacing w:line="360" w:lineRule="atLeast"/>
        <w:ind w:firstLine="420" w:firstLineChars="200"/>
        <w:rPr>
          <w:rFonts w:eastAsia="仿宋"/>
          <w:color w:val="000000"/>
          <w:szCs w:val="21"/>
        </w:rPr>
      </w:pPr>
      <w:r>
        <w:rPr>
          <w:rFonts w:hint="eastAsia" w:eastAsia="仿宋"/>
          <w:color w:val="000000"/>
          <w:szCs w:val="21"/>
        </w:rPr>
        <w:t>预评价时，应综合考虑建筑情况、室内装修设计方案、装修材料的种类和使用量、室内新风量、环境温度等诸多影响因素，以各种装修材料、家具制品主要污染物的释放特征（如释放速率）为基础，以“总量控制”为原则。依据装修设计方案，选择典型功能房间（卧室、客厅、办公室等）使用的主要建材（3种~5种）及固定家具制品，对室内空气中甲醛、苯、总挥发性有机物的浓度水平进行预评估。其中建材污染物释放特性参数及评估计算方法可参考现行行业标准《住宅建筑室内装修污染控制技术标准》JGJ/T436和《公共建筑室内空气质量控制设计标准》JGJ/T461的相关规定。</w:t>
      </w:r>
    </w:p>
    <w:p>
      <w:pPr>
        <w:widowControl/>
        <w:spacing w:line="360" w:lineRule="atLeast"/>
        <w:ind w:firstLine="420" w:firstLineChars="200"/>
        <w:rPr>
          <w:rFonts w:eastAsia="仿宋"/>
          <w:color w:val="000000"/>
          <w:szCs w:val="21"/>
        </w:rPr>
      </w:pPr>
      <w:r>
        <w:rPr>
          <w:rFonts w:hint="eastAsia" w:eastAsia="仿宋"/>
          <w:color w:val="000000"/>
          <w:szCs w:val="21"/>
        </w:rPr>
        <w:t>评价时，应选取每栋单体建筑中具有代表性的典型房间进行采样检测，采样和检验方法应符合现行国家标准《室内空气质量标准》GB/T18883的相关规定；采样的房间数量不少于房间总数的5%，且每个单体建筑不少于3间。</w:t>
      </w:r>
    </w:p>
    <w:p>
      <w:pPr>
        <w:widowControl/>
        <w:spacing w:line="360" w:lineRule="atLeast"/>
        <w:ind w:firstLine="420" w:firstLineChars="200"/>
        <w:rPr>
          <w:rFonts w:eastAsia="仿宋"/>
          <w:color w:val="000000"/>
          <w:szCs w:val="21"/>
        </w:rPr>
      </w:pPr>
      <w:r>
        <w:rPr>
          <w:rFonts w:hint="eastAsia" w:eastAsia="仿宋"/>
          <w:color w:val="000000"/>
          <w:szCs w:val="21"/>
        </w:rPr>
        <w:t>本条的评价方法为：预评价查阅相关设计文件、相关说明文件（装修材料种类、用量，禁止吸烟措施）、预评估分析报告；评价查阅相关竣工图、相关说明文件（装修材料种类、用量，禁止吸烟措施）、预评估分析报告，投入使用的项目尚应查阅室内空气质量检测报告、禁烟标志。</w:t>
      </w:r>
    </w:p>
    <w:p>
      <w:pPr>
        <w:pStyle w:val="59"/>
        <w:spacing w:line="360" w:lineRule="exac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.1.7</w:t>
      </w:r>
      <w:r>
        <w:rPr>
          <w:rFonts w:hint="eastAsia"/>
          <w:b/>
          <w:bCs/>
          <w:color w:val="000000"/>
          <w:sz w:val="21"/>
          <w:szCs w:val="21"/>
        </w:rPr>
        <w:t xml:space="preserve">  </w:t>
      </w:r>
      <w:r>
        <w:rPr>
          <w:rStyle w:val="52"/>
          <w:rFonts w:hint="eastAsia"/>
          <w:color w:val="000000"/>
          <w:sz w:val="21"/>
          <w:szCs w:val="21"/>
          <w:u w:val="none"/>
        </w:rPr>
        <w:t>应采取措施避免厨房、餐厅、打印复印室、卫生间、地下车库等区域的空气和污染物串通到其他空间；应防止厨房、卫生间的排气倒灌。</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rFonts w:eastAsia="仿宋"/>
          <w:color w:val="000000"/>
          <w:szCs w:val="21"/>
        </w:rPr>
      </w:pPr>
      <w:r>
        <w:rPr>
          <w:rFonts w:hint="eastAsia"/>
          <w:b/>
          <w:color w:val="000000"/>
          <w:szCs w:val="21"/>
        </w:rPr>
        <w:t>4.1.</w:t>
      </w:r>
      <w:r>
        <w:rPr>
          <w:b/>
          <w:color w:val="000000"/>
          <w:szCs w:val="21"/>
        </w:rPr>
        <w:t>7</w:t>
      </w:r>
      <w:r>
        <w:rPr>
          <w:rFonts w:hint="eastAsia"/>
          <w:b/>
          <w:color w:val="000000"/>
          <w:szCs w:val="21"/>
        </w:rPr>
        <w:t xml:space="preserve"> </w:t>
      </w:r>
      <w:r>
        <w:rPr>
          <w:rFonts w:hint="eastAsia" w:eastAsia="仿宋"/>
          <w:color w:val="000000"/>
          <w:szCs w:val="21"/>
        </w:rPr>
        <w:t>本条适用于各类民用建筑的预评价、评价。</w:t>
      </w:r>
    </w:p>
    <w:p>
      <w:pPr>
        <w:widowControl/>
        <w:spacing w:line="360" w:lineRule="atLeast"/>
        <w:ind w:firstLine="420" w:firstLineChars="200"/>
        <w:rPr>
          <w:rFonts w:eastAsia="仿宋"/>
          <w:color w:val="000000"/>
          <w:szCs w:val="21"/>
        </w:rPr>
      </w:pPr>
      <w:r>
        <w:rPr>
          <w:rFonts w:hint="eastAsia" w:eastAsia="仿宋"/>
          <w:color w:val="000000"/>
          <w:szCs w:val="21"/>
        </w:rPr>
        <w:t>避免厨房、餐厅、打印复印室、卫生间、地下车库等区域的空气和污染物串通到室内其他空间，为此要保证合理的气流组织，采取合理的排风措施避免污染物扩散，将厨房和卫生间设置于建筑单元（或户型）自然通风的负压侧，防止厨房或卫生间的气味进入室内而影响室内空气质量。同时，可以对不同功能房间保证一定压差，避免气味或污染物串通到室内其他空间。如设置机械排风，应保证负压，还应注意其取风口和排风口的位置，避免短路或污染。</w:t>
      </w:r>
    </w:p>
    <w:p>
      <w:pPr>
        <w:widowControl/>
        <w:spacing w:line="360" w:lineRule="atLeast"/>
        <w:ind w:firstLine="420" w:firstLineChars="200"/>
        <w:rPr>
          <w:rStyle w:val="52"/>
          <w:rFonts w:eastAsia="仿宋"/>
          <w:color w:val="000000"/>
          <w:szCs w:val="21"/>
          <w:u w:val="none"/>
        </w:rPr>
      </w:pPr>
      <w:r>
        <w:rPr>
          <w:rStyle w:val="52"/>
          <w:rFonts w:hint="eastAsia" w:eastAsia="仿宋"/>
          <w:color w:val="000000"/>
          <w:szCs w:val="21"/>
          <w:u w:val="none"/>
        </w:rPr>
        <w:t>厨房和卫生间的排气倒灌，对室内空气品质影响巨大，因此本条对避免厨房和卫生间排气倒灌进行了规定。厨房和卫生间的排气道设计应符合现行国家标准《住宅设计规范》GB50096、</w:t>
      </w:r>
    </w:p>
    <w:p>
      <w:pPr>
        <w:widowControl/>
        <w:spacing w:line="360" w:lineRule="atLeast"/>
        <w:jc w:val="left"/>
        <w:rPr>
          <w:rStyle w:val="52"/>
          <w:rFonts w:eastAsia="仿宋"/>
          <w:color w:val="000000"/>
          <w:szCs w:val="21"/>
          <w:u w:val="none"/>
        </w:rPr>
      </w:pPr>
      <w:r>
        <w:rPr>
          <w:rStyle w:val="52"/>
          <w:rFonts w:hint="eastAsia" w:eastAsia="仿宋"/>
          <w:color w:val="000000"/>
          <w:szCs w:val="21"/>
          <w:u w:val="none"/>
        </w:rPr>
        <w:t>《住宅建筑规范》GB50368、《建筑设计防火规范》GB50016、</w:t>
      </w:r>
    </w:p>
    <w:p>
      <w:pPr>
        <w:widowControl/>
        <w:spacing w:line="360" w:lineRule="atLeast"/>
        <w:jc w:val="left"/>
        <w:rPr>
          <w:rStyle w:val="52"/>
          <w:rFonts w:eastAsia="仿宋"/>
          <w:color w:val="000000"/>
          <w:szCs w:val="21"/>
          <w:u w:val="none"/>
        </w:rPr>
      </w:pPr>
      <w:r>
        <w:rPr>
          <w:rStyle w:val="52"/>
          <w:rFonts w:hint="eastAsia" w:eastAsia="仿宋"/>
          <w:color w:val="000000"/>
          <w:szCs w:val="21"/>
          <w:u w:val="none"/>
        </w:rPr>
        <w:t>《民用建筑设计统一标准》GB50352等规范的有关规定。排气道的断面、形状、尺寸和内壁应有利于排烟（气）通畅，防止产生阻滞、涡流、串烟、漏气和倒灌等现象。其他措施还包括安装止回排气阀、防倒灌风帽等。止回排气阀的各零件部品表面应平整，不应有裂缝、压坑及明显的凹凸、锤痕、毛刺、孔洞等缺陷。</w:t>
      </w:r>
    </w:p>
    <w:p>
      <w:pPr>
        <w:widowControl/>
        <w:spacing w:line="360" w:lineRule="atLeast"/>
        <w:ind w:firstLine="420" w:firstLineChars="200"/>
        <w:rPr>
          <w:rStyle w:val="52"/>
          <w:rFonts w:eastAsia="仿宋"/>
          <w:color w:val="000000"/>
          <w:szCs w:val="21"/>
          <w:u w:val="none"/>
        </w:rPr>
      </w:pPr>
      <w:r>
        <w:rPr>
          <w:rStyle w:val="52"/>
          <w:rFonts w:hint="eastAsia" w:eastAsia="仿宋"/>
          <w:color w:val="000000"/>
          <w:szCs w:val="21"/>
          <w:u w:val="none"/>
        </w:rPr>
        <w:t>本条的评价方法为：预评价查阅相关设计文件、气流组织模拟分析报告；评价查阅相关竣工图、气流组织模拟分析报告、相关产品性能检测报告或质量合格证书。</w:t>
      </w:r>
    </w:p>
    <w:p>
      <w:pPr>
        <w:pStyle w:val="59"/>
        <w:spacing w:line="360" w:lineRule="exac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.1.8</w:t>
      </w:r>
      <w:r>
        <w:rPr>
          <w:rFonts w:hint="eastAsia"/>
          <w:b/>
          <w:bCs/>
          <w:color w:val="000000"/>
          <w:sz w:val="21"/>
          <w:szCs w:val="21"/>
        </w:rPr>
        <w:t xml:space="preserve">  </w:t>
      </w:r>
      <w:r>
        <w:rPr>
          <w:rStyle w:val="52"/>
          <w:rFonts w:hint="eastAsia"/>
          <w:color w:val="000000"/>
          <w:sz w:val="21"/>
          <w:szCs w:val="21"/>
          <w:u w:val="none"/>
        </w:rPr>
        <w:t>生活饮用水水质应满足现行国家标准《生活饮用水卫生标准》GB 5749的要求。直饮水、游泳池水、采暖空调系统用水、景观水体、非传统水等的水质应符合国家现行相关标准的要求。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atLeast"/>
        <w:rPr>
          <w:b/>
          <w:color w:val="000000"/>
          <w:szCs w:val="21"/>
        </w:rPr>
      </w:pPr>
      <w:r>
        <w:rPr>
          <w:rFonts w:hint="eastAsia"/>
          <w:b/>
          <w:color w:val="000000"/>
          <w:szCs w:val="21"/>
        </w:rPr>
        <w:t>4.1.</w:t>
      </w:r>
      <w:r>
        <w:rPr>
          <w:b/>
          <w:color w:val="000000"/>
          <w:szCs w:val="21"/>
        </w:rPr>
        <w:t>8</w:t>
      </w:r>
      <w:r>
        <w:rPr>
          <w:rFonts w:hint="eastAsia"/>
          <w:b/>
          <w:color w:val="000000"/>
          <w:szCs w:val="21"/>
        </w:rPr>
        <w:t xml:space="preserve">  </w:t>
      </w:r>
      <w:r>
        <w:rPr>
          <w:rFonts w:hint="eastAsia" w:eastAsia="仿宋"/>
          <w:color w:val="000000"/>
          <w:szCs w:val="21"/>
        </w:rPr>
        <w:t>本条适用于各类民用建筑全装修的预评价、评价。在生活饮用水水质符合现行国家标准《生活饮用水卫生标准》GB5749 规定的前提下，如建筑未设置储水设施及</w:t>
      </w:r>
      <w:r>
        <w:rPr>
          <w:rFonts w:eastAsia="仿宋"/>
          <w:color w:val="000000"/>
          <w:szCs w:val="21"/>
        </w:rPr>
        <w:t>其他供水</w:t>
      </w:r>
      <w:r>
        <w:rPr>
          <w:rFonts w:hint="eastAsia" w:eastAsia="仿宋"/>
          <w:color w:val="000000"/>
          <w:szCs w:val="21"/>
        </w:rPr>
        <w:t>系统时，本条直接通过。</w:t>
      </w:r>
    </w:p>
    <w:p>
      <w:pPr>
        <w:widowControl/>
        <w:spacing w:line="360" w:lineRule="atLeast"/>
        <w:ind w:firstLine="420" w:firstLineChars="200"/>
        <w:rPr>
          <w:rFonts w:eastAsia="仿宋"/>
          <w:color w:val="000000"/>
          <w:szCs w:val="21"/>
        </w:rPr>
      </w:pPr>
      <w:r>
        <w:rPr>
          <w:rFonts w:hint="eastAsia" w:eastAsia="仿宋"/>
          <w:color w:val="000000"/>
          <w:szCs w:val="21"/>
        </w:rPr>
        <w:t>能够提供符合卫生要求的生活饮用水是绿色建筑的基本前提之一。建筑生活饮用水用水点出水水质的常规指标应符合现行国家标准《生活饮用水卫生标准》GB5749的规定。</w:t>
      </w:r>
    </w:p>
    <w:p>
      <w:pPr>
        <w:widowControl/>
        <w:spacing w:line="360" w:lineRule="atLeast"/>
        <w:ind w:firstLine="420" w:firstLineChars="200"/>
        <w:rPr>
          <w:rFonts w:eastAsia="仿宋"/>
          <w:color w:val="000000"/>
          <w:szCs w:val="21"/>
        </w:rPr>
      </w:pPr>
      <w:r>
        <w:rPr>
          <w:rFonts w:hint="eastAsia" w:eastAsia="仿宋"/>
          <w:color w:val="000000"/>
          <w:szCs w:val="21"/>
        </w:rPr>
        <w:t>直饮水系统分为集中供水的管道直饮水系统和分散供水的终端直饮水处理设备。管道直饮水系统供水水质应符合现行行业标准《饮用净水水质标准》CJ94的要求；终端直饮水处理设备的出水水质标准可参考现行行业标准《饮用净水水质标准》CJ94、</w:t>
      </w:r>
    </w:p>
    <w:p>
      <w:pPr>
        <w:widowControl/>
        <w:spacing w:line="360" w:lineRule="atLeast"/>
        <w:ind w:firstLine="420" w:firstLineChars="200"/>
        <w:rPr>
          <w:rFonts w:eastAsia="仿宋"/>
          <w:color w:val="000000"/>
          <w:szCs w:val="21"/>
        </w:rPr>
      </w:pPr>
      <w:r>
        <w:rPr>
          <w:rFonts w:hint="eastAsia" w:eastAsia="仿宋"/>
          <w:color w:val="000000"/>
          <w:szCs w:val="21"/>
        </w:rPr>
        <w:t>《全自动连续微/超滤净水装置》HG/T4111等现行饮用净水相关水质标准和设备标准。</w:t>
      </w:r>
    </w:p>
    <w:p>
      <w:pPr>
        <w:widowControl/>
        <w:spacing w:line="360" w:lineRule="atLeast"/>
        <w:ind w:firstLine="420" w:firstLineChars="200"/>
        <w:rPr>
          <w:rFonts w:eastAsia="仿宋"/>
          <w:color w:val="000000"/>
          <w:szCs w:val="21"/>
        </w:rPr>
      </w:pPr>
      <w:r>
        <w:rPr>
          <w:rFonts w:hint="eastAsia" w:eastAsia="仿宋"/>
          <w:color w:val="000000"/>
          <w:szCs w:val="21"/>
        </w:rPr>
        <w:t>集中生活热水系统供水水质应满足现行行业标准《生活热水水质标准》CJ/T521的要求。</w:t>
      </w:r>
    </w:p>
    <w:p>
      <w:pPr>
        <w:widowControl/>
        <w:spacing w:line="360" w:lineRule="atLeast"/>
        <w:ind w:firstLine="420" w:firstLineChars="200"/>
        <w:rPr>
          <w:rFonts w:eastAsia="仿宋"/>
          <w:color w:val="000000"/>
          <w:szCs w:val="21"/>
        </w:rPr>
      </w:pPr>
      <w:r>
        <w:rPr>
          <w:rFonts w:hint="eastAsia" w:eastAsia="仿宋"/>
          <w:color w:val="000000"/>
          <w:szCs w:val="21"/>
        </w:rPr>
        <w:t>游泳池循环水处理系统水质应满足现行行业标准《游泳池水质标准》CJ244的要求。</w:t>
      </w:r>
    </w:p>
    <w:p>
      <w:pPr>
        <w:widowControl/>
        <w:spacing w:line="360" w:lineRule="atLeast"/>
        <w:ind w:firstLine="420" w:firstLineChars="200"/>
        <w:rPr>
          <w:rFonts w:eastAsia="仿宋"/>
          <w:color w:val="000000"/>
          <w:szCs w:val="21"/>
        </w:rPr>
      </w:pPr>
      <w:r>
        <w:rPr>
          <w:rFonts w:hint="eastAsia" w:eastAsia="仿宋"/>
          <w:color w:val="000000"/>
          <w:szCs w:val="21"/>
        </w:rPr>
        <w:t>采暖空调循环水系统水质应满足现行国家标准《采暖空调系统水质》GB/T29044的要求。</w:t>
      </w:r>
    </w:p>
    <w:p>
      <w:pPr>
        <w:widowControl/>
        <w:spacing w:line="360" w:lineRule="atLeast"/>
        <w:ind w:firstLine="420" w:firstLineChars="200"/>
        <w:rPr>
          <w:rFonts w:eastAsia="仿宋"/>
          <w:color w:val="000000"/>
          <w:szCs w:val="21"/>
        </w:rPr>
      </w:pPr>
      <w:r>
        <w:rPr>
          <w:rFonts w:hint="eastAsia" w:eastAsia="仿宋"/>
          <w:color w:val="000000"/>
          <w:szCs w:val="21"/>
        </w:rPr>
        <w:t>国家标准《民用建筑节水设计标准》GB50555-2010规定景观用水水源不得采用市政自来水和地下井水，可采用中水、雨水等非传统水源或地表水。当景观补水采用非传统水源时，水质应满足现行国家标准《城市污水再生利用景观环境用水》GB/</w:t>
      </w:r>
    </w:p>
    <w:p>
      <w:pPr>
        <w:widowControl/>
        <w:spacing w:line="360" w:lineRule="atLeast"/>
        <w:ind w:firstLine="420" w:firstLineChars="200"/>
        <w:rPr>
          <w:rFonts w:eastAsia="仿宋"/>
          <w:color w:val="000000"/>
          <w:szCs w:val="21"/>
        </w:rPr>
      </w:pPr>
      <w:r>
        <w:rPr>
          <w:rFonts w:hint="eastAsia" w:eastAsia="仿宋"/>
          <w:color w:val="000000"/>
          <w:szCs w:val="21"/>
        </w:rPr>
        <w:t>T18921的要求。当景观水体用于全身接触、娱乐性用途时，即可能全身浸入水中进行嬉水、游泳等活动，如旱喷泉、嬉水喷泉等，水质应满足现行国家标准《生活饮用水卫生标准》GB5749的要求。</w:t>
      </w:r>
    </w:p>
    <w:p>
      <w:pPr>
        <w:widowControl/>
        <w:spacing w:line="360" w:lineRule="atLeast"/>
        <w:ind w:firstLine="420" w:firstLineChars="200"/>
        <w:rPr>
          <w:rFonts w:eastAsia="仿宋"/>
          <w:color w:val="000000"/>
          <w:szCs w:val="21"/>
        </w:rPr>
      </w:pPr>
      <w:r>
        <w:rPr>
          <w:rFonts w:hint="eastAsia" w:eastAsia="仿宋"/>
          <w:color w:val="000000"/>
          <w:szCs w:val="21"/>
        </w:rPr>
        <w:t>非传统水源供水系统水质，应根据不同用途的用水满足现行国家标准城市污水再生利用系列标准的要求。设有模块化户内中水集成系统的项目，户内中水水质应满足现行行业标准《模块化户内中水集成系统技术规程》JGJ/T409的要求。</w:t>
      </w:r>
    </w:p>
    <w:p>
      <w:pPr>
        <w:widowControl/>
        <w:spacing w:line="360" w:lineRule="atLeast"/>
        <w:ind w:firstLine="420" w:firstLineChars="200"/>
        <w:rPr>
          <w:rStyle w:val="52"/>
          <w:rFonts w:eastAsia="仿宋"/>
          <w:color w:val="000000"/>
          <w:szCs w:val="21"/>
          <w:u w:val="none"/>
        </w:rPr>
      </w:pPr>
      <w:r>
        <w:rPr>
          <w:rFonts w:hint="eastAsia" w:eastAsia="仿宋"/>
          <w:color w:val="000000"/>
          <w:szCs w:val="21"/>
        </w:rPr>
        <w:t>本条的评价方法为：本条的评价方法为：预评价查阅相关设计文件、市政供水的水质检测报告（采用市政再生水时，可使用同一水源邻近项目一年以内的水质检测报告）；评价查阅相关竣工图、设计说明、各类用水的水质检测报告。</w:t>
      </w:r>
    </w:p>
    <w:p>
      <w:pPr>
        <w:pStyle w:val="59"/>
        <w:spacing w:line="360" w:lineRule="exac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.1.9</w:t>
      </w:r>
      <w:r>
        <w:rPr>
          <w:rFonts w:hint="eastAsia"/>
          <w:b/>
          <w:bCs/>
          <w:color w:val="000000"/>
          <w:sz w:val="21"/>
          <w:szCs w:val="21"/>
        </w:rPr>
        <w:t xml:space="preserve">  </w:t>
      </w:r>
      <w:r>
        <w:rPr>
          <w:rStyle w:val="52"/>
          <w:color w:val="000000"/>
          <w:sz w:val="21"/>
          <w:szCs w:val="21"/>
          <w:u w:val="none"/>
        </w:rPr>
        <w:t>应使用构造内自带水封的便器和配置存水弯的卫生器具，且其水封深度应不小于50mm。</w:t>
      </w:r>
      <w:r>
        <w:rPr>
          <w:rStyle w:val="52"/>
          <w:rFonts w:hint="eastAsia"/>
          <w:color w:val="000000"/>
          <w:sz w:val="21"/>
          <w:szCs w:val="21"/>
          <w:u w:val="none"/>
        </w:rPr>
        <w:t>自带水封的地漏水封深度不得小于50mm。</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9</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rPr>
      </w:pPr>
      <w:r>
        <w:rPr>
          <w:rFonts w:hint="eastAsia" w:eastAsia="仿宋"/>
          <w:color w:val="000000"/>
          <w:sz w:val="21"/>
        </w:rPr>
        <w:t>水封是利用局部充水的方法隔断管道、设备等系统内部腔体与建筑室内空间连通的措施。水封装置是建筑排水管道系统中用以实现水封功能的装置。卫生器具水封装置、地漏水封和管道附件存水弯中的水封能够在保证污废水顺利排出的前提下，防止排水系统中的有害气体逸入室内，避免室内环境受到污染，有效保护人体健康。</w:t>
      </w:r>
    </w:p>
    <w:p>
      <w:pPr>
        <w:pStyle w:val="59"/>
        <w:spacing w:line="360" w:lineRule="exact"/>
        <w:ind w:firstLine="420"/>
        <w:rPr>
          <w:rFonts w:eastAsia="仿宋"/>
          <w:color w:val="000000"/>
          <w:sz w:val="21"/>
        </w:rPr>
      </w:pPr>
      <w:r>
        <w:rPr>
          <w:rFonts w:hint="eastAsia" w:eastAsia="仿宋"/>
          <w:color w:val="000000"/>
          <w:sz w:val="21"/>
        </w:rPr>
        <w:t>水封深度不足时，因蒸发或管道内压力波动，易造成水封失效，导致排水管道内的污浊有害气体进入室内，污染环境。卫生器具和地漏的有效水封深度不得小于50mm，且不能采用活动机械密封替代水封。当地漏自身水封深度不足50mm时，应加设满足水封深度要求的存水弯。</w:t>
      </w:r>
    </w:p>
    <w:p>
      <w:pPr>
        <w:pStyle w:val="59"/>
        <w:spacing w:line="360" w:lineRule="exact"/>
        <w:ind w:firstLine="420"/>
        <w:rPr>
          <w:rFonts w:eastAsia="仿宋"/>
          <w:color w:val="000000"/>
          <w:sz w:val="21"/>
        </w:rPr>
      </w:pPr>
      <w:r>
        <w:rPr>
          <w:rFonts w:hint="eastAsia" w:eastAsia="仿宋"/>
          <w:color w:val="000000"/>
          <w:sz w:val="21"/>
        </w:rPr>
        <w:t>本条的评价方法为：预评价查阅相关设计文件（含对卫生器具和地漏水封要求的说明）；评价查阅相关竣工图（含对卫生器具和地漏水封要求的说明）、产品说明书，必要时现场核查。</w:t>
      </w:r>
    </w:p>
    <w:p>
      <w:pPr>
        <w:pStyle w:val="59"/>
        <w:spacing w:line="360" w:lineRule="exact"/>
        <w:ind w:firstLine="0" w:firstLineChars="0"/>
        <w:rPr>
          <w:bCs/>
          <w:color w:val="000000"/>
          <w:sz w:val="18"/>
          <w:szCs w:val="18"/>
        </w:rPr>
      </w:pPr>
      <w:r>
        <w:rPr>
          <w:rFonts w:hint="eastAsia"/>
          <w:b/>
          <w:bCs/>
          <w:color w:val="000000"/>
          <w:sz w:val="21"/>
          <w:szCs w:val="21"/>
        </w:rPr>
        <w:t>4</w:t>
      </w:r>
      <w:r>
        <w:rPr>
          <w:b/>
          <w:bCs/>
          <w:color w:val="000000"/>
          <w:sz w:val="21"/>
          <w:szCs w:val="21"/>
        </w:rPr>
        <w:t>.1.10</w:t>
      </w:r>
      <w:r>
        <w:rPr>
          <w:rFonts w:hint="eastAsia"/>
          <w:b/>
          <w:bCs/>
          <w:color w:val="000000"/>
          <w:sz w:val="21"/>
          <w:szCs w:val="21"/>
        </w:rPr>
        <w:t xml:space="preserve">  </w:t>
      </w:r>
      <w:r>
        <w:rPr>
          <w:rStyle w:val="52"/>
          <w:color w:val="000000"/>
          <w:sz w:val="21"/>
          <w:szCs w:val="21"/>
          <w:u w:val="none"/>
        </w:rPr>
        <w:t>主要功能房间的室内噪声级和隔声性能应符合下列规定：</w:t>
      </w:r>
    </w:p>
    <w:p>
      <w:pPr>
        <w:pStyle w:val="59"/>
        <w:spacing w:line="360" w:lineRule="exact"/>
        <w:ind w:firstLine="420"/>
        <w:rPr>
          <w:bCs/>
          <w:color w:val="000000"/>
          <w:sz w:val="18"/>
          <w:szCs w:val="18"/>
        </w:rPr>
      </w:pPr>
      <w:r>
        <w:rPr>
          <w:rStyle w:val="52"/>
          <w:color w:val="000000"/>
          <w:sz w:val="21"/>
          <w:szCs w:val="21"/>
          <w:u w:val="none"/>
        </w:rPr>
        <w:t>1室内噪声级应符合现行国家标准《民用建筑隔声设计规范》GB50118中的低限要求；</w:t>
      </w:r>
    </w:p>
    <w:p>
      <w:pPr>
        <w:pStyle w:val="59"/>
        <w:spacing w:line="360" w:lineRule="exact"/>
        <w:ind w:firstLine="420"/>
        <w:rPr>
          <w:rStyle w:val="52"/>
          <w:color w:val="000000"/>
          <w:sz w:val="21"/>
          <w:szCs w:val="21"/>
          <w:u w:val="none"/>
        </w:rPr>
      </w:pPr>
      <w:r>
        <w:rPr>
          <w:rStyle w:val="52"/>
          <w:color w:val="000000"/>
          <w:sz w:val="21"/>
          <w:szCs w:val="21"/>
          <w:u w:val="none"/>
        </w:rPr>
        <w:t>2外墙、隔墙、楼板和门窗的隔声性能应满足现行国家标准《民用建筑隔声设计规范》GB50118中的低限要求。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10</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噪声对人体健康的影响是多方面的，例如：容易导致心理压力增加，加重人员的忧虑、愤怒、疲劳等消极情绪；能明显损害人的认知能力，降低思维的连贯性和敏捷性，严重影响人的思维效率，降低工作效率；过高的背景噪声会妨碍人与人之间的语言交流，甚至产生“鸡尾酒会”效应。噪声对人的这些影响都不利于人们身心健康，需采取有效措施控制人所处环境的噪声级，减少噪声对人体健康的影响。</w:t>
      </w:r>
    </w:p>
    <w:p>
      <w:pPr>
        <w:pStyle w:val="59"/>
        <w:spacing w:line="360" w:lineRule="exact"/>
        <w:ind w:firstLine="420"/>
        <w:rPr>
          <w:rFonts w:eastAsia="仿宋"/>
          <w:color w:val="000000"/>
          <w:sz w:val="21"/>
          <w:szCs w:val="21"/>
        </w:rPr>
      </w:pPr>
      <w:r>
        <w:rPr>
          <w:rFonts w:hint="eastAsia" w:eastAsia="仿宋"/>
          <w:color w:val="000000"/>
          <w:sz w:val="21"/>
          <w:szCs w:val="21"/>
        </w:rPr>
        <w:t>1 影响建筑室内噪声级大小的噪声源主要包括两类：一类是室内自身声源，如室内的通风空调设备、日用电器等；另一类是来自室外的噪声源，包括建筑内部其他空间的噪声源（如电梯噪声、空调机组噪声等）和建筑外部的噪声源（如周边交通噪声、社会生活噪声、工业噪声等）。对于建筑外部噪声源的控制，应首先在规划选址阶段就做综合考量，同时建筑设计阶段应进行合理的平面布局，避</w:t>
      </w:r>
    </w:p>
    <w:p>
      <w:pPr>
        <w:pStyle w:val="59"/>
        <w:spacing w:line="360" w:lineRule="exact"/>
        <w:ind w:firstLine="0" w:firstLineChars="0"/>
        <w:rPr>
          <w:rFonts w:eastAsia="仿宋"/>
          <w:color w:val="000000"/>
          <w:sz w:val="21"/>
          <w:szCs w:val="21"/>
        </w:rPr>
      </w:pPr>
      <w:r>
        <w:rPr>
          <w:rFonts w:hint="eastAsia" w:eastAsia="仿宋"/>
          <w:color w:val="000000"/>
          <w:sz w:val="21"/>
          <w:szCs w:val="21"/>
        </w:rPr>
        <w:t>免或降低主要功能房间受到室外交通、活动区域等的干扰，否则，应通过提高围护结构隔声性能等方式改善。对建筑物内部的噪声源，应通过选用低噪声设备、设置有效隔声、隔振、吸声、消声等综合措施来控制。</w:t>
      </w:r>
    </w:p>
    <w:p>
      <w:pPr>
        <w:pStyle w:val="59"/>
        <w:spacing w:line="360" w:lineRule="exact"/>
        <w:ind w:firstLine="420"/>
        <w:rPr>
          <w:rFonts w:eastAsia="仿宋"/>
          <w:color w:val="000000"/>
          <w:sz w:val="21"/>
          <w:szCs w:val="21"/>
        </w:rPr>
      </w:pPr>
      <w:r>
        <w:rPr>
          <w:rFonts w:hint="eastAsia" w:eastAsia="仿宋"/>
          <w:color w:val="000000"/>
          <w:sz w:val="21"/>
          <w:szCs w:val="21"/>
        </w:rPr>
        <w:t>2 外墙、隔墙和门窗的隔声性能指空气声隔声性能；楼板的隔声性能除了空气声隔声性能之外，还包括撞击声隔声性能。本条所指的围护结构构件的隔声性能的低限要求，与国家标准《民用建筑隔声设计规范》GB50118 中的低限要求规定对应，如该表中没有明确围护结构隔声性能的低限要求，即对应该标准规定的隔声性能的最低要求。</w:t>
      </w:r>
    </w:p>
    <w:p>
      <w:pPr>
        <w:pStyle w:val="59"/>
        <w:spacing w:line="360" w:lineRule="exact"/>
        <w:ind w:firstLine="420"/>
        <w:rPr>
          <w:rStyle w:val="52"/>
          <w:rFonts w:eastAsia="仿宋"/>
          <w:color w:val="000000"/>
          <w:sz w:val="21"/>
          <w:szCs w:val="21"/>
          <w:u w:val="none"/>
        </w:rPr>
      </w:pPr>
      <w:r>
        <w:rPr>
          <w:rFonts w:hint="eastAsia" w:eastAsia="仿宋"/>
          <w:color w:val="000000"/>
          <w:sz w:val="21"/>
          <w:szCs w:val="21"/>
        </w:rPr>
        <w:t>本条的评价方法为：预评价查阅相关设计文件、环评报告、噪声分析报告、构件隔声性能的实验室检验报告；评价查阅相关竣工图、噪声分析报告、室内噪声级检测报告、构件隔声性能的实验室检验报告，必要时现场核查。</w:t>
      </w:r>
    </w:p>
    <w:p>
      <w:pPr>
        <w:pStyle w:val="59"/>
        <w:spacing w:line="360" w:lineRule="exac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.1.11</w:t>
      </w:r>
      <w:r>
        <w:rPr>
          <w:rFonts w:hint="eastAsia"/>
          <w:b/>
          <w:bCs/>
          <w:color w:val="000000"/>
          <w:sz w:val="21"/>
          <w:szCs w:val="21"/>
        </w:rPr>
        <w:t xml:space="preserve">  </w:t>
      </w:r>
      <w:r>
        <w:rPr>
          <w:rStyle w:val="52"/>
          <w:rFonts w:hint="eastAsia"/>
          <w:color w:val="000000"/>
          <w:sz w:val="21"/>
          <w:szCs w:val="21"/>
          <w:u w:val="none"/>
        </w:rPr>
        <w:t>建筑照明应符合下列规定：</w:t>
      </w:r>
    </w:p>
    <w:p>
      <w:pPr>
        <w:pStyle w:val="59"/>
        <w:spacing w:line="360" w:lineRule="exact"/>
        <w:ind w:firstLine="420"/>
        <w:rPr>
          <w:rStyle w:val="52"/>
          <w:color w:val="000000"/>
          <w:sz w:val="21"/>
          <w:szCs w:val="21"/>
          <w:u w:val="none"/>
        </w:rPr>
      </w:pPr>
      <w:r>
        <w:rPr>
          <w:rStyle w:val="52"/>
          <w:rFonts w:hint="eastAsia"/>
          <w:color w:val="000000"/>
          <w:sz w:val="21"/>
          <w:szCs w:val="21"/>
          <w:u w:val="none"/>
        </w:rPr>
        <w:t>1照明数量和质量以及节能控制方式应符合现行国家标准《建筑照明设计标准》GB50034的规定；</w:t>
      </w:r>
    </w:p>
    <w:p>
      <w:pPr>
        <w:pStyle w:val="59"/>
        <w:spacing w:line="360" w:lineRule="exact"/>
        <w:ind w:firstLine="420"/>
        <w:rPr>
          <w:rStyle w:val="52"/>
          <w:color w:val="000000"/>
          <w:sz w:val="21"/>
          <w:szCs w:val="21"/>
          <w:u w:val="none"/>
        </w:rPr>
      </w:pPr>
      <w:r>
        <w:rPr>
          <w:rStyle w:val="52"/>
          <w:rFonts w:hint="eastAsia"/>
          <w:color w:val="000000"/>
          <w:sz w:val="21"/>
          <w:szCs w:val="21"/>
          <w:u w:val="none"/>
        </w:rPr>
        <w:t>2人员长期停留的场所应采用符合现行国家标准《灯和灯系统的光生物安全性》GB/T20145规定的无危险类照明产品；</w:t>
      </w:r>
    </w:p>
    <w:p>
      <w:pPr>
        <w:pStyle w:val="59"/>
        <w:spacing w:line="360" w:lineRule="exact"/>
        <w:ind w:firstLine="420"/>
        <w:rPr>
          <w:rStyle w:val="52"/>
          <w:color w:val="000000"/>
          <w:sz w:val="21"/>
          <w:szCs w:val="21"/>
          <w:u w:val="none"/>
        </w:rPr>
      </w:pPr>
      <w:r>
        <w:rPr>
          <w:rStyle w:val="52"/>
          <w:rFonts w:hint="eastAsia"/>
          <w:color w:val="000000"/>
          <w:sz w:val="21"/>
          <w:szCs w:val="21"/>
          <w:u w:val="none"/>
        </w:rPr>
        <w:t>3选用LED照明产品的光输出波形的波动深度应满足现行国家标准《LED室内照明应用技术要求》GB/T31831的规定。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11</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第1款，室内照明质量是影响室内环境质量的重要因素之一，良好的照明不但有利于提升人们的工作和学习效率，更有利于人们的身心健康，减少各种职业疾病。良好、舒适的照明要求在参考平面上具有适当的照度水平，避免眩光，显色效果良好。各类民用建筑中的室内照度、眩光值、一般显色指数等照明数量和质量指标应满足现行国家标准《建筑照明设计标准》GB50034的有关规定。</w:t>
      </w:r>
    </w:p>
    <w:p>
      <w:pPr>
        <w:pStyle w:val="59"/>
        <w:spacing w:line="360" w:lineRule="exact"/>
        <w:ind w:firstLine="420"/>
        <w:rPr>
          <w:rFonts w:eastAsia="仿宋"/>
          <w:color w:val="000000"/>
          <w:sz w:val="21"/>
          <w:szCs w:val="21"/>
        </w:rPr>
      </w:pPr>
      <w:r>
        <w:rPr>
          <w:rFonts w:hint="eastAsia" w:eastAsia="仿宋"/>
          <w:color w:val="000000"/>
          <w:sz w:val="21"/>
          <w:szCs w:val="21"/>
        </w:rPr>
        <w:t>第2款，对照明产品光生物安全性作了规定，现行国家标准《灯和灯系统的光生物安全性》GB/T20145规定了照明产品不同危险级别的光生物安全指标及相关测试方法，为保障室内人员的健康，人员长期停留场所的照明应选择安全组别为无危险类的产品。</w:t>
      </w:r>
    </w:p>
    <w:p>
      <w:pPr>
        <w:pStyle w:val="59"/>
        <w:spacing w:line="360" w:lineRule="exact"/>
        <w:ind w:firstLine="420"/>
        <w:rPr>
          <w:rFonts w:eastAsia="仿宋"/>
          <w:color w:val="000000"/>
          <w:sz w:val="21"/>
          <w:szCs w:val="21"/>
        </w:rPr>
      </w:pPr>
      <w:r>
        <w:rPr>
          <w:rFonts w:hint="eastAsia" w:eastAsia="仿宋"/>
          <w:color w:val="000000"/>
          <w:sz w:val="21"/>
          <w:szCs w:val="21"/>
        </w:rPr>
        <w:t>第3款，光源光输出波形的波动深度又称为频闪比，用来评价光输出的波动对人的影响。当电光源光通量波动的频率，与运动（旋转）物体的速度（转速）成整倍数关系时，运动（旋转）物体的运动（旋转）状态，在人的视觉中就会产生静止、倒转、运动（旋转）速度缓慢，以及上述三种状态周期性重复的错误视</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本条的评价方法为：预评价查阅相关设计文件、计算书；评价查阅相关设计施工图、计算书、现场检测报告、产品说明书及产品检验报告，必要时现场核查。</w:t>
      </w:r>
    </w:p>
    <w:p>
      <w:pPr>
        <w:pStyle w:val="59"/>
        <w:spacing w:line="360" w:lineRule="atLeas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.1.12</w:t>
      </w:r>
      <w:r>
        <w:rPr>
          <w:rFonts w:hint="eastAsia"/>
          <w:bCs/>
          <w:color w:val="000000"/>
          <w:sz w:val="21"/>
          <w:szCs w:val="21"/>
        </w:rPr>
        <w:t>室内装饰装修不应在天然采光处设置遮挡采光的吊柜、装饰物等固定设施。</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12</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atLeast"/>
        <w:ind w:firstLine="420"/>
        <w:rPr>
          <w:rFonts w:eastAsia="仿宋"/>
          <w:color w:val="000000"/>
          <w:sz w:val="21"/>
          <w:szCs w:val="21"/>
        </w:rPr>
      </w:pPr>
      <w:r>
        <w:rPr>
          <w:rFonts w:hint="eastAsia" w:eastAsia="仿宋"/>
          <w:color w:val="000000"/>
          <w:sz w:val="21"/>
          <w:szCs w:val="21"/>
        </w:rPr>
        <w:t>本条的评价方法为：预评价查阅相关设计文件；评价现场核查。</w:t>
      </w:r>
    </w:p>
    <w:p>
      <w:pPr>
        <w:pStyle w:val="59"/>
        <w:spacing w:line="360" w:lineRule="atLeast"/>
        <w:ind w:firstLine="0" w:firstLineChars="0"/>
        <w:rPr>
          <w:rStyle w:val="52"/>
          <w:color w:val="000000"/>
          <w:sz w:val="21"/>
          <w:szCs w:val="21"/>
          <w:u w:val="none"/>
        </w:rPr>
      </w:pPr>
      <w:r>
        <w:rPr>
          <w:rFonts w:hint="eastAsia"/>
          <w:b/>
          <w:bCs/>
          <w:color w:val="000000"/>
          <w:sz w:val="21"/>
          <w:szCs w:val="21"/>
        </w:rPr>
        <w:t>4</w:t>
      </w:r>
      <w:r>
        <w:rPr>
          <w:b/>
          <w:bCs/>
          <w:color w:val="000000"/>
          <w:sz w:val="21"/>
          <w:szCs w:val="21"/>
        </w:rPr>
        <w:t>.1.13</w:t>
      </w:r>
      <w:r>
        <w:rPr>
          <w:rFonts w:hint="eastAsia"/>
          <w:b/>
          <w:bCs/>
          <w:color w:val="000000"/>
          <w:sz w:val="21"/>
          <w:szCs w:val="21"/>
        </w:rPr>
        <w:t xml:space="preserve"> </w:t>
      </w:r>
      <w:r>
        <w:rPr>
          <w:rFonts w:hint="eastAsia"/>
          <w:bCs/>
          <w:color w:val="000000"/>
          <w:sz w:val="21"/>
          <w:szCs w:val="21"/>
        </w:rPr>
        <w:t>主要功能房间应具有现场独立控制的热环境调节装置。</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13</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建筑应满足室内热环境舒适度的要求。采用集中供暖空调系统的建筑，其房间的温度、湿度、新风量等是室内热环境的重要指标，应满足现行国家标准《民用建筑供暖通风与空气调节设计规范》GB 50736 中的有关规定。对于非集中供暖空调系统的建筑，应有保障室内热环境措施的预留条件。</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本条的评价方法为：预评价查阅相关设计文件；评价查阅相关竣工图、室内温湿度检测报告，必要时现场核查。</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Ⅲ  资源节约</w:t>
      </w:r>
    </w:p>
    <w:p>
      <w:pPr>
        <w:widowControl/>
        <w:spacing w:line="380" w:lineRule="exact"/>
        <w:rPr>
          <w:bCs/>
          <w:color w:val="000000"/>
          <w:szCs w:val="21"/>
        </w:rPr>
      </w:pPr>
      <w:r>
        <w:rPr>
          <w:rFonts w:hint="eastAsia"/>
          <w:b/>
          <w:bCs/>
          <w:color w:val="000000"/>
          <w:szCs w:val="21"/>
        </w:rPr>
        <w:t>4</w:t>
      </w:r>
      <w:r>
        <w:rPr>
          <w:b/>
          <w:bCs/>
          <w:color w:val="000000"/>
          <w:szCs w:val="21"/>
        </w:rPr>
        <w:t>.</w:t>
      </w:r>
      <w:r>
        <w:rPr>
          <w:rFonts w:hint="eastAsia"/>
          <w:b/>
          <w:bCs/>
          <w:color w:val="000000"/>
          <w:szCs w:val="21"/>
        </w:rPr>
        <w:t>1.</w:t>
      </w:r>
      <w:r>
        <w:rPr>
          <w:b/>
          <w:bCs/>
          <w:color w:val="000000"/>
          <w:szCs w:val="21"/>
        </w:rPr>
        <w:t>14</w:t>
      </w:r>
      <w:r>
        <w:rPr>
          <w:rFonts w:hint="eastAsia"/>
          <w:b/>
          <w:bCs/>
          <w:color w:val="000000"/>
          <w:szCs w:val="21"/>
        </w:rPr>
        <w:t xml:space="preserve">  </w:t>
      </w:r>
      <w:r>
        <w:rPr>
          <w:rFonts w:hint="eastAsia"/>
          <w:bCs/>
          <w:color w:val="000000"/>
          <w:szCs w:val="21"/>
        </w:rPr>
        <w:t>应采取措施降低部分负荷、部分空间使用下的供暖、空调系统能耗，并应符合下列规定：</w:t>
      </w:r>
    </w:p>
    <w:p>
      <w:pPr>
        <w:widowControl/>
        <w:spacing w:line="380" w:lineRule="exact"/>
        <w:ind w:firstLine="420" w:firstLineChars="200"/>
        <w:rPr>
          <w:bCs/>
          <w:color w:val="000000"/>
          <w:szCs w:val="21"/>
        </w:rPr>
      </w:pPr>
      <w:r>
        <w:rPr>
          <w:rFonts w:hint="eastAsia"/>
          <w:bCs/>
          <w:color w:val="000000"/>
          <w:szCs w:val="21"/>
        </w:rPr>
        <w:t>1应区分房间的朝向细分供暖、空调区域，并应对系统进行分区控制；</w:t>
      </w:r>
    </w:p>
    <w:p>
      <w:pPr>
        <w:widowControl/>
        <w:spacing w:line="380" w:lineRule="exact"/>
        <w:ind w:firstLine="420" w:firstLineChars="200"/>
        <w:rPr>
          <w:bCs/>
          <w:color w:val="000000"/>
          <w:szCs w:val="21"/>
        </w:rPr>
      </w:pPr>
      <w:r>
        <w:rPr>
          <w:rFonts w:hint="eastAsia"/>
          <w:bCs/>
          <w:color w:val="000000"/>
          <w:szCs w:val="21"/>
        </w:rPr>
        <w:t>2空调冷源的部分负荷性能系数（IPLV）、电冷源综合制冷性能系数（SCOP）应符合现行国家标准《公共建筑节能设计标准》GB50189的规定。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14</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对于采用分体式以及多联式空调的，可认定为满足空调供冷分区要求。</w:t>
      </w:r>
    </w:p>
    <w:p>
      <w:pPr>
        <w:pStyle w:val="59"/>
        <w:spacing w:line="360" w:lineRule="exact"/>
        <w:ind w:firstLine="420"/>
        <w:rPr>
          <w:rFonts w:eastAsia="仿宋"/>
          <w:color w:val="000000"/>
          <w:sz w:val="21"/>
          <w:szCs w:val="21"/>
        </w:rPr>
      </w:pPr>
      <w:r>
        <w:rPr>
          <w:rFonts w:hint="eastAsia" w:eastAsia="仿宋"/>
          <w:color w:val="000000"/>
          <w:sz w:val="21"/>
          <w:szCs w:val="21"/>
        </w:rPr>
        <w:t>不用朝向，不同的使用时间，不同功能需求（人员设备负荷，室内温湿度要求）的区域自然应考虑供暖空调的分区，否则一方面增加了后期运行调控的难度，也带来了能耗的浪费。因此，本条文要求设计应区分房间的朝向，细分供暖、空区域，应对系统进行分区控制。</w:t>
      </w:r>
    </w:p>
    <w:p>
      <w:pPr>
        <w:pStyle w:val="59"/>
        <w:spacing w:line="360" w:lineRule="exact"/>
        <w:ind w:firstLine="420"/>
        <w:rPr>
          <w:rFonts w:eastAsia="仿宋"/>
          <w:color w:val="000000"/>
          <w:sz w:val="21"/>
          <w:szCs w:val="21"/>
        </w:rPr>
      </w:pPr>
      <w:r>
        <w:rPr>
          <w:rFonts w:hint="eastAsia" w:eastAsia="仿宋"/>
          <w:color w:val="000000"/>
          <w:sz w:val="21"/>
          <w:szCs w:val="21"/>
        </w:rPr>
        <w:t>空调系统一般按照最不利情况(满负荷)进行系统设计和设备选型，而建筑在绝大部分时间内是处于部分负荷状况的，或者同一时间仅有一部分空间处于使用状态。现行国家标准《公共建筑节能设计标准》GB 50189 已经对空调冷源的部分负荷性能（IPLV）进行了要求，本条文参照执行。</w:t>
      </w:r>
    </w:p>
    <w:p>
      <w:pPr>
        <w:pStyle w:val="59"/>
        <w:spacing w:line="360" w:lineRule="exact"/>
        <w:ind w:firstLine="420"/>
        <w:rPr>
          <w:rFonts w:eastAsia="仿宋"/>
          <w:color w:val="000000"/>
          <w:sz w:val="21"/>
          <w:szCs w:val="21"/>
        </w:rPr>
      </w:pPr>
      <w:r>
        <w:rPr>
          <w:rFonts w:hint="eastAsia" w:eastAsia="仿宋"/>
          <w:color w:val="000000"/>
          <w:sz w:val="21"/>
          <w:szCs w:val="21"/>
        </w:rPr>
        <w:t>最终决定空调系统耗电量的是包含空调冷热源、输送系统和空调末端设备在内整个空调系统，整体更优才能达到节能的最终目的。空调系统电冷源综合制冷性能系数（SCOP）这个参数，保证空调冷源部分的节能设计整体更优。现行国家标准《公共建筑节能设计标准》GB 50189 中对空调系统的电冷源综合制冷性能系数（SCOP）已进行了要求，本条文参照执行。</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本条的评价方法为：预评价查阅暖通专业施工图纸及设计说明（要求有控制策略、IPLV 计算说明、SCOP 计算说明）；评价查阅暖通专业竣工图纸、冷源机组设备说明，必要时现场核查。</w:t>
      </w:r>
    </w:p>
    <w:p>
      <w:pPr>
        <w:widowControl/>
        <w:spacing w:line="380" w:lineRule="exact"/>
        <w:rPr>
          <w:bCs/>
          <w:color w:val="000000"/>
          <w:szCs w:val="21"/>
        </w:rPr>
      </w:pPr>
      <w:r>
        <w:rPr>
          <w:rFonts w:hint="eastAsia"/>
          <w:b/>
          <w:bCs/>
          <w:color w:val="000000"/>
          <w:szCs w:val="21"/>
        </w:rPr>
        <w:t>4.1.</w:t>
      </w:r>
      <w:r>
        <w:rPr>
          <w:b/>
          <w:bCs/>
          <w:color w:val="000000"/>
          <w:szCs w:val="21"/>
        </w:rPr>
        <w:t>15</w:t>
      </w:r>
      <w:r>
        <w:rPr>
          <w:rFonts w:hint="eastAsia"/>
          <w:b/>
          <w:bCs/>
          <w:color w:val="000000"/>
          <w:szCs w:val="21"/>
        </w:rPr>
        <w:t xml:space="preserve">  </w:t>
      </w:r>
      <w:r>
        <w:rPr>
          <w:rFonts w:hint="eastAsia"/>
          <w:bCs/>
          <w:color w:val="000000"/>
          <w:szCs w:val="21"/>
        </w:rPr>
        <w:t>主要功能房间的照明功率密度值不应高于现行国家标准《建筑照明设计标准》GB50034规定的现行值；公共区域的照明系统应采用分区、定时、感应等节能控制；采光区域的照明控制应独立于其他区域的照明控制。</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15</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现行国家标准《建筑照明设计标准》GB50034规定了各类房间或场所的照明功率密度值，分为“现行值”和“目标值”，其中“现行值”是新建建筑必须满足的最低要求，“目标值”要求更高。</w:t>
      </w:r>
    </w:p>
    <w:p>
      <w:pPr>
        <w:pStyle w:val="59"/>
        <w:spacing w:line="360" w:lineRule="exact"/>
        <w:ind w:firstLine="420"/>
        <w:rPr>
          <w:rFonts w:eastAsia="仿宋"/>
          <w:color w:val="000000"/>
          <w:sz w:val="21"/>
          <w:szCs w:val="21"/>
        </w:rPr>
      </w:pPr>
      <w:r>
        <w:rPr>
          <w:rFonts w:hint="eastAsia" w:eastAsia="仿宋"/>
          <w:color w:val="000000"/>
          <w:sz w:val="21"/>
          <w:szCs w:val="21"/>
        </w:rPr>
        <w:t>在建筑的实际运行过程中，照明系统的分区控制、定时控制、自动感应开关、照度调节等措施对降低照明能耗作用很明显。照明系统分区需满足自然光利用、功能和作息差异的要求。功能差异如办公区、走廊、楼梯间、车库等的分区：作息差异一般指日常工作时间、值班时间等的不同。对于公共区域（包括走廊、楼梯间、大堂、门厅、地下停车场等场所）可采取分区、定时、感应等节能控制措施。如楼梯间采取声、光控或人体感应控制；走廊、地下车库可采用定时或其他的集中控制方式。</w:t>
      </w:r>
    </w:p>
    <w:p>
      <w:pPr>
        <w:pStyle w:val="59"/>
        <w:spacing w:line="360" w:lineRule="exact"/>
        <w:ind w:firstLine="420"/>
        <w:rPr>
          <w:rFonts w:eastAsia="仿宋"/>
          <w:color w:val="000000"/>
          <w:sz w:val="21"/>
          <w:szCs w:val="21"/>
        </w:rPr>
      </w:pPr>
      <w:r>
        <w:rPr>
          <w:rFonts w:hint="eastAsia" w:eastAsia="仿宋"/>
          <w:color w:val="000000"/>
          <w:sz w:val="21"/>
          <w:szCs w:val="21"/>
        </w:rPr>
        <w:t>采光区域的人工照明控制独立于其他区域的照明控制，有利于单独控制采光区的人工照明，实现照明节能。</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包含电气照明系统图、电气照明平面施工图）、设计说明（需包含照明设计要求、照明设计标准、照明控制措施等）、建筑照明功率密度计算分析报告；评价查阅相关竣工图、设计说明（需包含照明设计要求、照明设计标准、照明控制措施等）、建筑照明功率密度检测报告。</w:t>
      </w:r>
    </w:p>
    <w:p>
      <w:pPr>
        <w:widowControl/>
        <w:spacing w:line="380" w:lineRule="exact"/>
        <w:rPr>
          <w:bCs/>
          <w:color w:val="000000"/>
          <w:szCs w:val="21"/>
        </w:rPr>
      </w:pPr>
      <w:r>
        <w:rPr>
          <w:rFonts w:hint="eastAsia"/>
          <w:b/>
          <w:bCs/>
          <w:color w:val="000000"/>
          <w:szCs w:val="21"/>
        </w:rPr>
        <w:t>4.1.</w:t>
      </w:r>
      <w:r>
        <w:rPr>
          <w:b/>
          <w:bCs/>
          <w:color w:val="000000"/>
          <w:szCs w:val="21"/>
        </w:rPr>
        <w:t>16</w:t>
      </w:r>
      <w:r>
        <w:rPr>
          <w:rFonts w:hint="eastAsia"/>
          <w:b/>
          <w:bCs/>
          <w:color w:val="000000"/>
          <w:szCs w:val="21"/>
        </w:rPr>
        <w:t xml:space="preserve">  </w:t>
      </w:r>
      <w:r>
        <w:rPr>
          <w:rFonts w:hint="eastAsia"/>
          <w:bCs/>
          <w:color w:val="000000"/>
          <w:szCs w:val="21"/>
        </w:rPr>
        <w:t>室内隔墙</w:t>
      </w:r>
      <w:r>
        <w:rPr>
          <w:bCs/>
          <w:color w:val="000000"/>
          <w:szCs w:val="21"/>
        </w:rPr>
        <w:t>、楼板的热工性能限值应满足国家现行有关节能标准的规定。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16</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实际建筑并非所有房间同时采暖空调,户间传热是很大的，从理论计算和实测来看,其冷热量损失对节能影响较大。因此，规定了分户墙、楼板对传热系数K的要求。现行公共建筑参照《公共建筑节能设计标准》</w:t>
      </w:r>
      <w:r>
        <w:rPr>
          <w:rFonts w:eastAsia="仿宋"/>
          <w:color w:val="000000"/>
          <w:sz w:val="21"/>
          <w:szCs w:val="21"/>
        </w:rPr>
        <w:t>DB13</w:t>
      </w:r>
      <w:r>
        <w:rPr>
          <w:rFonts w:hint="eastAsia" w:eastAsia="仿宋"/>
          <w:color w:val="000000"/>
          <w:sz w:val="21"/>
          <w:szCs w:val="21"/>
        </w:rPr>
        <w:t>（J）</w:t>
      </w:r>
      <w:r>
        <w:rPr>
          <w:rFonts w:eastAsia="仿宋"/>
          <w:color w:val="000000"/>
          <w:sz w:val="21"/>
          <w:szCs w:val="21"/>
        </w:rPr>
        <w:t>81</w:t>
      </w:r>
      <w:r>
        <w:rPr>
          <w:rFonts w:hint="eastAsia" w:eastAsia="仿宋"/>
          <w:color w:val="000000"/>
          <w:sz w:val="21"/>
          <w:szCs w:val="21"/>
        </w:rPr>
        <w:t>，现行居住建筑参照《居住建筑</w:t>
      </w:r>
      <w:r>
        <w:rPr>
          <w:rFonts w:eastAsia="仿宋"/>
          <w:color w:val="000000"/>
          <w:sz w:val="21"/>
          <w:szCs w:val="21"/>
        </w:rPr>
        <w:t>节能设计标准》DB13(J)185</w:t>
      </w:r>
      <w:r>
        <w:rPr>
          <w:rFonts w:hint="eastAsia" w:eastAsia="仿宋"/>
          <w:color w:val="000000"/>
          <w:sz w:val="21"/>
          <w:szCs w:val="21"/>
        </w:rPr>
        <w:t>。</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本条的评价方法为：预评价在设计阶段时查阅相关设计图纸、计算书，并现场核实；评价与预评价方法一致。</w:t>
      </w:r>
    </w:p>
    <w:p>
      <w:pPr>
        <w:widowControl/>
        <w:spacing w:line="380" w:lineRule="exact"/>
        <w:rPr>
          <w:bCs/>
          <w:color w:val="000000"/>
          <w:szCs w:val="21"/>
        </w:rPr>
      </w:pPr>
      <w:r>
        <w:rPr>
          <w:rFonts w:hint="eastAsia"/>
          <w:b/>
          <w:bCs/>
          <w:color w:val="000000"/>
          <w:szCs w:val="21"/>
        </w:rPr>
        <w:t>4.1.</w:t>
      </w:r>
      <w:r>
        <w:rPr>
          <w:b/>
          <w:bCs/>
          <w:color w:val="000000"/>
          <w:szCs w:val="21"/>
        </w:rPr>
        <w:t>17</w:t>
      </w:r>
      <w:r>
        <w:rPr>
          <w:rFonts w:hint="eastAsia"/>
          <w:b/>
          <w:bCs/>
          <w:color w:val="000000"/>
          <w:szCs w:val="21"/>
        </w:rPr>
        <w:t xml:space="preserve">  </w:t>
      </w:r>
      <w:r>
        <w:rPr>
          <w:rFonts w:hint="eastAsia"/>
          <w:bCs/>
          <w:color w:val="000000"/>
          <w:szCs w:val="21"/>
        </w:rPr>
        <w:t>应制定水资源利用方案，统筹利用各种水资源，并应符合下列规定：</w:t>
      </w:r>
    </w:p>
    <w:p>
      <w:pPr>
        <w:widowControl/>
        <w:spacing w:line="380" w:lineRule="exact"/>
        <w:ind w:firstLine="420" w:firstLineChars="200"/>
        <w:rPr>
          <w:bCs/>
          <w:color w:val="000000"/>
          <w:szCs w:val="21"/>
        </w:rPr>
      </w:pPr>
      <w:r>
        <w:rPr>
          <w:rFonts w:hint="eastAsia"/>
          <w:bCs/>
          <w:color w:val="000000"/>
          <w:szCs w:val="21"/>
        </w:rPr>
        <w:t>1应按使用用途、付费或管理单元，分别设置用水计量装置；</w:t>
      </w:r>
    </w:p>
    <w:p>
      <w:pPr>
        <w:widowControl/>
        <w:spacing w:line="380" w:lineRule="exact"/>
        <w:ind w:firstLine="420" w:firstLineChars="200"/>
        <w:rPr>
          <w:bCs/>
          <w:color w:val="000000"/>
          <w:szCs w:val="21"/>
        </w:rPr>
      </w:pPr>
      <w:r>
        <w:rPr>
          <w:rFonts w:hint="eastAsia"/>
          <w:bCs/>
          <w:color w:val="000000"/>
          <w:szCs w:val="21"/>
        </w:rPr>
        <w:t>2用水点处水压大于0.2MPa的配水支管应设置减压设施，并应满足给水配件最低工作压力的要求；</w:t>
      </w:r>
    </w:p>
    <w:p>
      <w:pPr>
        <w:widowControl/>
        <w:spacing w:line="380" w:lineRule="exact"/>
        <w:ind w:firstLine="420" w:firstLineChars="200"/>
        <w:rPr>
          <w:bCs/>
          <w:color w:val="000000"/>
          <w:szCs w:val="21"/>
        </w:rPr>
      </w:pPr>
      <w:r>
        <w:rPr>
          <w:rFonts w:hint="eastAsia"/>
          <w:bCs/>
          <w:color w:val="000000"/>
          <w:szCs w:val="21"/>
        </w:rPr>
        <w:t>3用水器具和设备应满足节水产品的要求。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17</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在进行绿色建筑设计前，应充分了解项目所在区域的市政给排水条件、水资源状况、气候特点等实际情况，通过全面的分析研究，制定水资源利用方案，提高水资源循环利用率，减少市政供水量和污水排放量。</w:t>
      </w:r>
    </w:p>
    <w:p>
      <w:pPr>
        <w:pStyle w:val="59"/>
        <w:spacing w:line="360" w:lineRule="exact"/>
        <w:ind w:firstLine="420"/>
        <w:rPr>
          <w:rFonts w:eastAsia="仿宋"/>
          <w:color w:val="000000"/>
          <w:sz w:val="21"/>
          <w:szCs w:val="21"/>
        </w:rPr>
      </w:pPr>
      <w:r>
        <w:rPr>
          <w:rFonts w:hint="eastAsia" w:eastAsia="仿宋"/>
          <w:color w:val="000000"/>
          <w:sz w:val="21"/>
          <w:szCs w:val="21"/>
        </w:rPr>
        <w:t>水资源利用方案包含项目所在地气候情况、市政条件及节水政策，项目概况，水量计算及水平衡分析，给排水系统设计方案介绍，节水器具及设备说明，非传统水源利用方案等内容。第1款，按使用用途、付费或管理单元情况分别设置用水计量装置，可以统计各种用水部门的用水量和分析渗漏水量，达到持续改进节水管理的目的。同时，也可以据此施行计量收费，或节水绩效考核，促进行为节水。</w:t>
      </w:r>
    </w:p>
    <w:p>
      <w:pPr>
        <w:pStyle w:val="59"/>
        <w:spacing w:line="360" w:lineRule="exact"/>
        <w:ind w:firstLine="420"/>
        <w:rPr>
          <w:rFonts w:eastAsia="仿宋"/>
          <w:color w:val="000000"/>
          <w:sz w:val="21"/>
          <w:szCs w:val="21"/>
        </w:rPr>
      </w:pPr>
      <w:r>
        <w:rPr>
          <w:rFonts w:hint="eastAsia" w:eastAsia="仿宋"/>
          <w:color w:val="000000"/>
          <w:sz w:val="21"/>
          <w:szCs w:val="21"/>
        </w:rPr>
        <w:t>第2款，用水器具给水配件在单位时间内的出水量超过额定流量的现象，称超压出流现象，该流量与额定流量的差值，为超压出流量。超压出流量未产生使用效益，为无效用水量，即浪费的水量。给水系统设计时应采取措施控制超压出流现象，应合理进行压力分区，并适当地采取减压措施，避免造成浪费。当选用自带减压装置的用水器具时，该部分管线的工作压力满足相关设计规范的要求即可。当建筑因功能需要，选用特殊水压要求的用水器具时，可根据产品要求采用适当的工作压力，但应选用用水效率高的产品，并在说明中做相应描述。</w:t>
      </w:r>
    </w:p>
    <w:p>
      <w:pPr>
        <w:pStyle w:val="59"/>
        <w:spacing w:line="360" w:lineRule="exact"/>
        <w:ind w:firstLine="420"/>
        <w:rPr>
          <w:rFonts w:eastAsia="仿宋"/>
          <w:color w:val="000000"/>
          <w:sz w:val="21"/>
          <w:szCs w:val="21"/>
        </w:rPr>
      </w:pPr>
      <w:r>
        <w:rPr>
          <w:rFonts w:hint="eastAsia" w:eastAsia="仿宋"/>
          <w:color w:val="000000"/>
          <w:sz w:val="21"/>
          <w:szCs w:val="21"/>
        </w:rPr>
        <w:t>第3款，所有用水器具应满足现行国家标准《节水型产品技术条件与管理通则》GB/T18870的要求。除特殊功能需求外，均应采用节水型用水器具。</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相关设计文件（含水表分级设置示意图、各层用水点用水压力计算图表、用水器具节水性能要求）、水资源利用方案及其在设计中的落实说明；评价查阅相关竣工图、水资源利用方案及其在设计中的落实说明、用水器具产品说明书或产品节水性能检测报告。</w:t>
      </w:r>
    </w:p>
    <w:p>
      <w:pPr>
        <w:widowControl/>
        <w:spacing w:line="380" w:lineRule="exact"/>
        <w:rPr>
          <w:bCs/>
          <w:color w:val="000000"/>
          <w:szCs w:val="21"/>
        </w:rPr>
      </w:pPr>
      <w:r>
        <w:rPr>
          <w:rFonts w:hint="eastAsia"/>
          <w:b/>
          <w:bCs/>
          <w:color w:val="000000"/>
          <w:szCs w:val="21"/>
        </w:rPr>
        <w:t>4.1.</w:t>
      </w:r>
      <w:r>
        <w:rPr>
          <w:b/>
          <w:bCs/>
          <w:color w:val="000000"/>
          <w:szCs w:val="21"/>
        </w:rPr>
        <w:t>18</w:t>
      </w:r>
      <w:r>
        <w:rPr>
          <w:rFonts w:hint="eastAsia"/>
          <w:b/>
          <w:bCs/>
          <w:color w:val="000000"/>
          <w:szCs w:val="21"/>
        </w:rPr>
        <w:t xml:space="preserve">  </w:t>
      </w:r>
      <w:r>
        <w:rPr>
          <w:rFonts w:hint="eastAsia"/>
          <w:bCs/>
          <w:color w:val="000000"/>
          <w:szCs w:val="21"/>
        </w:rPr>
        <w:t>建筑室内设计造型要素应简约。</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18</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设置大量的没有功能的纯装饰性构件，不符合绿色建筑节约资源的要求。而通过使用装饰和功能一体化构件，利用功能构件作为建筑造型的语言，可以在满足建筑功能的前提下表达美学效果，并节约资源。</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本条的评价方法为：预评价查阅设计文件，有装饰性构件的应提供其功能说明书和造价计算书；评价查阅竣工图和造价计算书，必要时现场核查。</w:t>
      </w:r>
    </w:p>
    <w:p>
      <w:pPr>
        <w:widowControl/>
        <w:spacing w:line="380" w:lineRule="exact"/>
        <w:rPr>
          <w:bCs/>
          <w:color w:val="000000"/>
          <w:szCs w:val="21"/>
        </w:rPr>
      </w:pPr>
      <w:r>
        <w:rPr>
          <w:rFonts w:hint="eastAsia"/>
          <w:b/>
          <w:bCs/>
          <w:color w:val="000000"/>
          <w:szCs w:val="21"/>
        </w:rPr>
        <w:t>4.1.</w:t>
      </w:r>
      <w:r>
        <w:rPr>
          <w:b/>
          <w:bCs/>
          <w:color w:val="000000"/>
          <w:szCs w:val="21"/>
        </w:rPr>
        <w:t>19</w:t>
      </w:r>
      <w:r>
        <w:rPr>
          <w:rFonts w:hint="eastAsia"/>
          <w:b/>
          <w:bCs/>
          <w:color w:val="000000"/>
          <w:szCs w:val="21"/>
        </w:rPr>
        <w:t xml:space="preserve">  </w:t>
      </w:r>
      <w:r>
        <w:rPr>
          <w:rFonts w:hint="eastAsia"/>
          <w:bCs/>
          <w:color w:val="000000"/>
          <w:szCs w:val="21"/>
        </w:rPr>
        <w:t>不应擅自拆改</w:t>
      </w:r>
      <w:r>
        <w:rPr>
          <w:bCs/>
          <w:color w:val="000000"/>
          <w:szCs w:val="21"/>
        </w:rPr>
        <w:t>或占用公共部位的门厅、</w:t>
      </w:r>
      <w:r>
        <w:rPr>
          <w:rFonts w:hint="eastAsia"/>
          <w:bCs/>
          <w:color w:val="000000"/>
          <w:szCs w:val="21"/>
        </w:rPr>
        <w:t>走道</w:t>
      </w:r>
      <w:r>
        <w:rPr>
          <w:bCs/>
          <w:color w:val="000000"/>
          <w:szCs w:val="21"/>
        </w:rPr>
        <w:t>和楼梯间。</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19</w:t>
      </w:r>
      <w:r>
        <w:rPr>
          <w:rFonts w:hint="eastAsia"/>
          <w:b/>
          <w:color w:val="000000"/>
          <w:sz w:val="21"/>
          <w:szCs w:val="21"/>
        </w:rPr>
        <w:t xml:space="preserve">  </w:t>
      </w:r>
      <w:r>
        <w:rPr>
          <w:rFonts w:hint="eastAsia" w:eastAsia="仿宋"/>
          <w:color w:val="000000"/>
          <w:sz w:val="21"/>
          <w:szCs w:val="21"/>
        </w:rPr>
        <w:t>本条适用于各类民用绿色建筑的预评价、评价。</w:t>
      </w:r>
    </w:p>
    <w:p>
      <w:pPr>
        <w:widowControl/>
        <w:spacing w:line="380" w:lineRule="exact"/>
        <w:ind w:firstLine="420" w:firstLineChars="200"/>
        <w:rPr>
          <w:rFonts w:eastAsia="仿宋"/>
          <w:color w:val="000000"/>
          <w:szCs w:val="21"/>
        </w:rPr>
      </w:pPr>
      <w:r>
        <w:rPr>
          <w:rFonts w:hint="eastAsia" w:eastAsia="仿宋"/>
          <w:color w:val="000000"/>
          <w:szCs w:val="21"/>
        </w:rPr>
        <w:t>有些装饰装修工程中为了扩大使用面积，有的减少共用部分安全疏散口数量，延长室内至疏散出口距离。有的擅自拆改、占用公用部分门厅走道和楼梯同等，这些行为严重影响了消防安全</w:t>
      </w:r>
      <w:r>
        <w:rPr>
          <w:rFonts w:eastAsia="仿宋"/>
          <w:color w:val="000000"/>
          <w:szCs w:val="21"/>
        </w:rPr>
        <w:t>。</w:t>
      </w:r>
      <w:r>
        <w:rPr>
          <w:rFonts w:hint="eastAsia" w:eastAsia="仿宋"/>
          <w:color w:val="000000"/>
          <w:szCs w:val="21"/>
        </w:rPr>
        <w:t>因此作本条文规定。</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本条的评价方法为，预评价查间设计图纸、经消防验收合格的图纸和文件：评价与预评价方法一致。</w:t>
      </w:r>
    </w:p>
    <w:p>
      <w:pPr>
        <w:widowControl/>
        <w:spacing w:line="380" w:lineRule="exact"/>
        <w:rPr>
          <w:bCs/>
          <w:color w:val="000000"/>
          <w:szCs w:val="21"/>
        </w:rPr>
      </w:pPr>
      <w:r>
        <w:rPr>
          <w:rFonts w:hint="eastAsia"/>
          <w:b/>
          <w:bCs/>
          <w:color w:val="000000"/>
          <w:szCs w:val="21"/>
        </w:rPr>
        <w:t>4.1.</w:t>
      </w:r>
      <w:r>
        <w:rPr>
          <w:b/>
          <w:bCs/>
          <w:color w:val="000000"/>
          <w:szCs w:val="21"/>
        </w:rPr>
        <w:t>20</w:t>
      </w:r>
      <w:r>
        <w:rPr>
          <w:rFonts w:hint="eastAsia"/>
          <w:b/>
          <w:bCs/>
          <w:color w:val="000000"/>
          <w:szCs w:val="21"/>
        </w:rPr>
        <w:t xml:space="preserve"> </w:t>
      </w:r>
      <w:r>
        <w:rPr>
          <w:rFonts w:hint="eastAsia"/>
          <w:bCs/>
          <w:color w:val="000000"/>
          <w:szCs w:val="21"/>
        </w:rPr>
        <w:t xml:space="preserve"> 室内全</w:t>
      </w:r>
      <w:r>
        <w:rPr>
          <w:bCs/>
          <w:color w:val="000000"/>
          <w:szCs w:val="21"/>
        </w:rPr>
        <w:t>装修设计中，室内净高、过道的净宽、坡道</w:t>
      </w:r>
      <w:r>
        <w:rPr>
          <w:rFonts w:hint="eastAsia"/>
          <w:bCs/>
          <w:color w:val="000000"/>
          <w:szCs w:val="21"/>
        </w:rPr>
        <w:t>的</w:t>
      </w:r>
      <w:r>
        <w:rPr>
          <w:bCs/>
          <w:color w:val="000000"/>
          <w:szCs w:val="21"/>
        </w:rPr>
        <w:t>坡度以及台阶踏步的数量</w:t>
      </w:r>
      <w:r>
        <w:rPr>
          <w:rFonts w:hint="eastAsia"/>
          <w:bCs/>
          <w:color w:val="000000"/>
          <w:szCs w:val="21"/>
        </w:rPr>
        <w:t>、</w:t>
      </w:r>
      <w:r>
        <w:rPr>
          <w:bCs/>
          <w:color w:val="000000"/>
          <w:szCs w:val="21"/>
        </w:rPr>
        <w:t>尺寸等应符合现行国家标准《</w:t>
      </w:r>
      <w:r>
        <w:rPr>
          <w:rFonts w:hint="eastAsia"/>
          <w:bCs/>
          <w:color w:val="000000"/>
          <w:szCs w:val="21"/>
        </w:rPr>
        <w:t>民用</w:t>
      </w:r>
      <w:r>
        <w:rPr>
          <w:bCs/>
          <w:color w:val="000000"/>
          <w:szCs w:val="21"/>
        </w:rPr>
        <w:t>建筑设计通则》</w:t>
      </w:r>
      <w:r>
        <w:rPr>
          <w:rFonts w:hint="eastAsia"/>
          <w:bCs/>
          <w:color w:val="000000"/>
          <w:szCs w:val="21"/>
        </w:rPr>
        <w:t>GB50352以及</w:t>
      </w:r>
      <w:r>
        <w:rPr>
          <w:bCs/>
          <w:color w:val="000000"/>
          <w:szCs w:val="21"/>
        </w:rPr>
        <w:t>国家现行有关标准的规定要求。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4.1.</w:t>
      </w:r>
      <w:r>
        <w:rPr>
          <w:b/>
          <w:color w:val="000000"/>
          <w:sz w:val="21"/>
          <w:szCs w:val="21"/>
        </w:rPr>
        <w:t>20</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鉴于室内装饰装修过程中有改变原建筑标准的情况和部分装验收  饰装修设计人员对相关规范标准缺乏了解的现状以及过分强调装饰性效果，从保证使用者安全、舒适高效利用角度考虑，特作本火规  条文规定。可参考行业标准《住宅室内装饰装修设计规范》计人则  JGJ 367- 2015、《办公建筑设计规范)JGJ 67- 2006 等。</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本条的评价方法为:预评价查阅设计图纸；评价与预评价方法一致，</w:t>
      </w:r>
      <w:r>
        <w:rPr>
          <w:rFonts w:eastAsia="仿宋"/>
          <w:color w:val="000000"/>
          <w:sz w:val="21"/>
          <w:szCs w:val="21"/>
        </w:rPr>
        <w:t>并应现场核实</w:t>
      </w:r>
      <w:r>
        <w:rPr>
          <w:rFonts w:hint="eastAsia" w:eastAsia="仿宋"/>
          <w:color w:val="000000"/>
          <w:sz w:val="21"/>
          <w:szCs w:val="21"/>
        </w:rPr>
        <w:t>。</w:t>
      </w:r>
    </w:p>
    <w:bookmarkEnd w:id="53"/>
    <w:bookmarkEnd w:id="54"/>
    <w:bookmarkEnd w:id="55"/>
    <w:p>
      <w:pPr>
        <w:snapToGrid w:val="0"/>
        <w:spacing w:before="100" w:beforeAutospacing="1" w:line="360" w:lineRule="atLeast"/>
        <w:jc w:val="center"/>
        <w:outlineLvl w:val="1"/>
        <w:rPr>
          <w:rFonts w:eastAsia="黑体"/>
          <w:color w:val="000000"/>
        </w:rPr>
      </w:pPr>
      <w:bookmarkStart w:id="56" w:name="_Toc413850357"/>
      <w:bookmarkStart w:id="57" w:name="_Toc363714390"/>
      <w:bookmarkStart w:id="58" w:name="_Toc413848030"/>
      <w:bookmarkStart w:id="59" w:name="_Toc349912319"/>
      <w:bookmarkStart w:id="60" w:name="_Toc413849590"/>
      <w:bookmarkStart w:id="61" w:name="_Toc433209285"/>
      <w:bookmarkStart w:id="62" w:name="_Toc324256104"/>
      <w:bookmarkStart w:id="63" w:name="_Toc331065716"/>
      <w:bookmarkStart w:id="64" w:name="_Toc332983321"/>
      <w:r>
        <w:rPr>
          <w:rFonts w:eastAsia="黑体"/>
          <w:b/>
          <w:color w:val="000000"/>
        </w:rPr>
        <w:t xml:space="preserve">4.2 </w:t>
      </w:r>
      <w:r>
        <w:rPr>
          <w:rFonts w:eastAsia="黑体"/>
          <w:color w:val="000000"/>
        </w:rPr>
        <w:t xml:space="preserve"> 评分项</w:t>
      </w:r>
      <w:bookmarkEnd w:id="56"/>
      <w:bookmarkEnd w:id="57"/>
      <w:bookmarkEnd w:id="58"/>
      <w:bookmarkEnd w:id="59"/>
      <w:bookmarkEnd w:id="60"/>
      <w:bookmarkEnd w:id="61"/>
    </w:p>
    <w:p>
      <w:pPr>
        <w:pStyle w:val="59"/>
        <w:spacing w:before="100" w:beforeAutospacing="1" w:after="100" w:afterAutospacing="1" w:line="380" w:lineRule="exact"/>
        <w:ind w:firstLine="0" w:firstLineChars="0"/>
        <w:jc w:val="center"/>
        <w:rPr>
          <w:rFonts w:cs="宋体"/>
          <w:color w:val="000000"/>
          <w:sz w:val="21"/>
          <w:szCs w:val="21"/>
        </w:rPr>
      </w:pPr>
      <w:bookmarkStart w:id="65" w:name="_Toc413850358"/>
      <w:bookmarkStart w:id="66" w:name="_Toc349912320"/>
      <w:bookmarkStart w:id="67" w:name="_Toc413848031"/>
      <w:bookmarkStart w:id="68" w:name="_Toc413849591"/>
      <w:r>
        <w:rPr>
          <w:rFonts w:hint="eastAsia" w:cs="宋体"/>
          <w:color w:val="000000"/>
          <w:sz w:val="21"/>
          <w:szCs w:val="21"/>
        </w:rPr>
        <w:t>Ⅰ</w:t>
      </w:r>
      <w:r>
        <w:rPr>
          <w:rFonts w:cs="宋体"/>
          <w:color w:val="000000"/>
          <w:sz w:val="21"/>
          <w:szCs w:val="21"/>
        </w:rPr>
        <w:t xml:space="preserve">  </w:t>
      </w:r>
      <w:bookmarkEnd w:id="62"/>
      <w:bookmarkEnd w:id="63"/>
      <w:bookmarkEnd w:id="64"/>
      <w:bookmarkEnd w:id="65"/>
      <w:bookmarkEnd w:id="66"/>
      <w:bookmarkEnd w:id="67"/>
      <w:bookmarkEnd w:id="68"/>
      <w:r>
        <w:rPr>
          <w:rFonts w:cs="宋体"/>
          <w:color w:val="000000"/>
          <w:sz w:val="21"/>
          <w:szCs w:val="21"/>
        </w:rPr>
        <w:t>安全</w:t>
      </w:r>
      <w:r>
        <w:rPr>
          <w:rFonts w:hint="eastAsia" w:cs="宋体"/>
          <w:color w:val="000000"/>
          <w:sz w:val="21"/>
          <w:szCs w:val="21"/>
        </w:rPr>
        <w:t>耐久</w:t>
      </w:r>
    </w:p>
    <w:p>
      <w:pPr>
        <w:pStyle w:val="59"/>
        <w:spacing w:line="360" w:lineRule="exact"/>
        <w:ind w:firstLine="0" w:firstLineChars="0"/>
        <w:rPr>
          <w:bCs/>
          <w:color w:val="000000"/>
          <w:sz w:val="21"/>
          <w:szCs w:val="21"/>
        </w:rPr>
      </w:pPr>
      <w:bookmarkStart w:id="69" w:name="_Toc413850359"/>
      <w:bookmarkStart w:id="70" w:name="_Toc413848032"/>
      <w:bookmarkStart w:id="71" w:name="_Toc413849592"/>
      <w:r>
        <w:rPr>
          <w:b/>
          <w:bCs/>
          <w:color w:val="000000"/>
          <w:sz w:val="21"/>
          <w:szCs w:val="21"/>
        </w:rPr>
        <w:t>4.2.1</w:t>
      </w:r>
      <w:r>
        <w:rPr>
          <w:rFonts w:hint="eastAsia"/>
          <w:b/>
          <w:bCs/>
          <w:color w:val="000000"/>
          <w:sz w:val="21"/>
          <w:szCs w:val="21"/>
        </w:rPr>
        <w:t xml:space="preserve">  </w:t>
      </w:r>
      <w:r>
        <w:rPr>
          <w:rFonts w:hint="eastAsia"/>
          <w:bCs/>
          <w:color w:val="000000"/>
          <w:sz w:val="21"/>
          <w:szCs w:val="21"/>
        </w:rPr>
        <w:t>采取保障人员安全的防护措施，评价总分值为</w:t>
      </w:r>
      <w:r>
        <w:rPr>
          <w:bCs/>
          <w:color w:val="000000"/>
          <w:sz w:val="21"/>
          <w:szCs w:val="21"/>
        </w:rPr>
        <w:t>10</w:t>
      </w:r>
      <w:r>
        <w:rPr>
          <w:rFonts w:hint="eastAsia"/>
          <w:bCs/>
          <w:color w:val="000000"/>
          <w:sz w:val="21"/>
          <w:szCs w:val="21"/>
        </w:rPr>
        <w:t>分，并按下列规则分别评分并累计：</w:t>
      </w:r>
    </w:p>
    <w:p>
      <w:pPr>
        <w:pStyle w:val="59"/>
        <w:spacing w:line="360" w:lineRule="exact"/>
        <w:ind w:firstLine="420"/>
        <w:rPr>
          <w:bCs/>
          <w:color w:val="000000"/>
          <w:sz w:val="21"/>
          <w:szCs w:val="21"/>
        </w:rPr>
      </w:pPr>
      <w:r>
        <w:rPr>
          <w:rFonts w:hint="eastAsia"/>
          <w:bCs/>
          <w:color w:val="000000"/>
          <w:sz w:val="21"/>
          <w:szCs w:val="21"/>
        </w:rPr>
        <w:t>1采取措施提高阳台、外窗、窗台、防护栏杆等安全防护水平，得5分；</w:t>
      </w:r>
    </w:p>
    <w:p>
      <w:pPr>
        <w:pStyle w:val="59"/>
        <w:spacing w:line="360" w:lineRule="exact"/>
        <w:ind w:firstLine="420"/>
        <w:rPr>
          <w:bCs/>
          <w:color w:val="000000"/>
          <w:sz w:val="21"/>
          <w:szCs w:val="21"/>
        </w:rPr>
      </w:pPr>
      <w:r>
        <w:rPr>
          <w:rFonts w:hint="eastAsia"/>
          <w:bCs/>
          <w:color w:val="000000"/>
          <w:sz w:val="21"/>
          <w:szCs w:val="21"/>
        </w:rPr>
        <w:t>2建筑物出入口均设外墙饰面、门窗玻璃意外脱落的防护措施，并与人员通行区域的遮阳、遮风或挡雨措施结合，得5分；</w:t>
      </w:r>
    </w:p>
    <w:p>
      <w:pPr>
        <w:tabs>
          <w:tab w:val="left" w:pos="4570"/>
        </w:tabs>
        <w:adjustRightInd w:val="0"/>
        <w:spacing w:line="360" w:lineRule="atLeast"/>
        <w:outlineLvl w:val="2"/>
        <w:rPr>
          <w:color w:val="000000"/>
          <w:szCs w:val="20"/>
        </w:rPr>
      </w:pPr>
      <w:r>
        <w:rPr>
          <w:rFonts w:hint="eastAsia"/>
          <w:color w:val="000000"/>
          <w:szCs w:val="20"/>
        </w:rPr>
        <w:t>【条文说明】</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1</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第1款，阳台、外窗、窗台、防护栏杆等强化防坠设计有利于降低坠物伤人风险，阳台外窗采用高窗设计、限制窗扇开启角度、窗台与绿化种植整合设计、适度减少防护栏杆垂直杆件水平净距、安装隐形防盗网等措施，防止物品坠落伤人。此外，外窗的安全防护可与纱窗等相结合，既可以防坠物伤人，还可以防蚊防盗。</w:t>
      </w:r>
    </w:p>
    <w:p>
      <w:pPr>
        <w:pStyle w:val="59"/>
        <w:spacing w:line="360" w:lineRule="exact"/>
        <w:ind w:firstLine="420"/>
        <w:rPr>
          <w:rFonts w:eastAsia="仿宋"/>
          <w:color w:val="000000"/>
          <w:sz w:val="21"/>
          <w:szCs w:val="21"/>
        </w:rPr>
      </w:pPr>
      <w:r>
        <w:rPr>
          <w:rFonts w:hint="eastAsia" w:eastAsia="仿宋"/>
          <w:color w:val="000000"/>
          <w:sz w:val="21"/>
          <w:szCs w:val="21"/>
        </w:rPr>
        <w:t>第2款，外墙饰面、外墙粉刷及保温层等掉落伤人的现象在国内各个城市都有发生，甚至尚未住人的新建小区也出现瓷砖大面积掉落现象。在建筑间距和通路设计时，除了考虑消防、采光、通风、日照间距等，还需考虑采取避免坠物伤人的措施。由于建筑物外墙钢筋混凝土、填充墙体、水泥砂浆、外贴保温、外墙饰面层及门窗等的热胀冷缩系数不同，建筑设计时虽然采取设墙面变形缝的措施，但受环境温度、湿度及施工质量的影响，各种材料会发生不同程度的变形，材料连接界面破坏，出现外墙空鼓，最后导致坠落影响人民生命与财产安全。因此，要求建筑物出入口均设外墙饰面、门窗玻璃意外脱落的防护措施，并与人员通行区域的遮阳、遮风或挡雨措施结合，同时采取建立护栏、缓冲区、隔离带等安全措施，消除安全隐患。</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本条的评价方法为：预评价查阅相关设计文件等；评价查阅相关竣工图。</w:t>
      </w:r>
    </w:p>
    <w:p>
      <w:pPr>
        <w:pStyle w:val="59"/>
        <w:spacing w:line="360" w:lineRule="exact"/>
        <w:ind w:firstLine="0" w:firstLineChars="0"/>
        <w:rPr>
          <w:bCs/>
          <w:color w:val="000000"/>
          <w:sz w:val="21"/>
          <w:szCs w:val="21"/>
        </w:rPr>
      </w:pPr>
      <w:r>
        <w:rPr>
          <w:b/>
          <w:bCs/>
          <w:color w:val="000000"/>
          <w:sz w:val="21"/>
          <w:szCs w:val="21"/>
        </w:rPr>
        <w:t>4.2.2</w:t>
      </w:r>
      <w:r>
        <w:rPr>
          <w:rFonts w:hint="eastAsia"/>
          <w:b/>
          <w:bCs/>
          <w:color w:val="000000"/>
          <w:sz w:val="21"/>
          <w:szCs w:val="21"/>
        </w:rPr>
        <w:t xml:space="preserve">  </w:t>
      </w:r>
      <w:r>
        <w:rPr>
          <w:rFonts w:hint="eastAsia"/>
          <w:bCs/>
          <w:color w:val="000000"/>
          <w:sz w:val="21"/>
          <w:szCs w:val="21"/>
        </w:rPr>
        <w:t>采用具有安全防护功能的产品或配件，评价总分值为10分，并按下列规则分别评分并累计：</w:t>
      </w:r>
    </w:p>
    <w:p>
      <w:pPr>
        <w:pStyle w:val="59"/>
        <w:spacing w:line="360" w:lineRule="exact"/>
        <w:ind w:firstLine="420"/>
        <w:rPr>
          <w:bCs/>
          <w:color w:val="000000"/>
          <w:sz w:val="21"/>
          <w:szCs w:val="21"/>
        </w:rPr>
      </w:pPr>
      <w:r>
        <w:rPr>
          <w:rFonts w:hint="eastAsia"/>
          <w:bCs/>
          <w:color w:val="000000"/>
          <w:sz w:val="21"/>
          <w:szCs w:val="21"/>
        </w:rPr>
        <w:t>1</w:t>
      </w:r>
      <w:r>
        <w:rPr>
          <w:bCs/>
          <w:color w:val="000000"/>
          <w:sz w:val="21"/>
          <w:szCs w:val="21"/>
        </w:rPr>
        <w:t xml:space="preserve"> </w:t>
      </w:r>
      <w:r>
        <w:rPr>
          <w:rFonts w:hint="eastAsia"/>
          <w:bCs/>
          <w:color w:val="000000"/>
          <w:sz w:val="21"/>
          <w:szCs w:val="21"/>
        </w:rPr>
        <w:t>采用具有安全防护功能的玻璃，得5分；</w:t>
      </w:r>
    </w:p>
    <w:p>
      <w:pPr>
        <w:pStyle w:val="59"/>
        <w:spacing w:line="360" w:lineRule="exact"/>
        <w:ind w:firstLine="420"/>
        <w:rPr>
          <w:bCs/>
          <w:color w:val="000000"/>
          <w:sz w:val="21"/>
          <w:szCs w:val="21"/>
        </w:rPr>
      </w:pPr>
      <w:r>
        <w:rPr>
          <w:rFonts w:hint="eastAsia"/>
          <w:bCs/>
          <w:color w:val="000000"/>
          <w:sz w:val="21"/>
          <w:szCs w:val="21"/>
        </w:rPr>
        <w:t>2</w:t>
      </w:r>
      <w:r>
        <w:rPr>
          <w:bCs/>
          <w:color w:val="000000"/>
          <w:sz w:val="21"/>
          <w:szCs w:val="21"/>
        </w:rPr>
        <w:t xml:space="preserve"> </w:t>
      </w:r>
      <w:r>
        <w:rPr>
          <w:rFonts w:hint="eastAsia"/>
          <w:bCs/>
          <w:color w:val="000000"/>
          <w:sz w:val="21"/>
          <w:szCs w:val="21"/>
        </w:rPr>
        <w:t>采用具备防夹功能的门窗，得5分。</w:t>
      </w:r>
    </w:p>
    <w:p>
      <w:pPr>
        <w:tabs>
          <w:tab w:val="left" w:pos="4570"/>
        </w:tabs>
        <w:adjustRightInd w:val="0"/>
        <w:spacing w:line="360" w:lineRule="atLeast"/>
        <w:outlineLvl w:val="2"/>
        <w:rPr>
          <w:color w:val="000000"/>
          <w:szCs w:val="20"/>
        </w:rPr>
      </w:pPr>
      <w:r>
        <w:rPr>
          <w:rFonts w:hint="eastAsia"/>
          <w:color w:val="000000"/>
          <w:szCs w:val="20"/>
        </w:rPr>
        <w:t>【条文说明】</w:t>
      </w:r>
    </w:p>
    <w:p>
      <w:pPr>
        <w:pStyle w:val="59"/>
        <w:spacing w:line="360" w:lineRule="exact"/>
        <w:ind w:firstLine="0" w:firstLineChars="0"/>
        <w:rPr>
          <w:rFonts w:eastAsia="仿宋"/>
          <w:color w:val="000000"/>
          <w:sz w:val="21"/>
          <w:szCs w:val="21"/>
        </w:rPr>
      </w:pPr>
      <w:r>
        <w:rPr>
          <w:rFonts w:hint="eastAsia"/>
          <w:b/>
          <w:color w:val="000000"/>
          <w:sz w:val="21"/>
          <w:szCs w:val="21"/>
        </w:rPr>
        <w:t xml:space="preserve">4.2.2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第1款，参考国家现行标准《建筑用安全玻璃》GB15763、</w:t>
      </w:r>
    </w:p>
    <w:p>
      <w:pPr>
        <w:pStyle w:val="59"/>
        <w:spacing w:line="360" w:lineRule="exact"/>
        <w:ind w:firstLine="420"/>
        <w:rPr>
          <w:rFonts w:eastAsia="仿宋"/>
          <w:color w:val="000000"/>
          <w:sz w:val="21"/>
          <w:szCs w:val="21"/>
        </w:rPr>
      </w:pPr>
      <w:r>
        <w:rPr>
          <w:rFonts w:hint="eastAsia" w:eastAsia="仿宋"/>
          <w:color w:val="000000"/>
          <w:sz w:val="21"/>
          <w:szCs w:val="21"/>
        </w:rPr>
        <w:t>《建筑玻璃应用技术规程》JGJ113的有关规定以及《建筑安全玻璃管理规定》（发改运行〔2003]2116号）对建筑用安全玻璃使用的建议，人体撞击建筑中的玻璃制品并受到伤害的主要原因是缺少足够的安全防护。为了尽量减少建筑用玻璃制品在受到冲击时对人体造成划伤、割伤等，在建筑中使用玻璃制品时需尽可能地采取下列措施：</w:t>
      </w:r>
    </w:p>
    <w:p>
      <w:pPr>
        <w:pStyle w:val="59"/>
        <w:spacing w:line="360" w:lineRule="exact"/>
        <w:ind w:firstLine="420"/>
        <w:rPr>
          <w:rFonts w:eastAsia="仿宋"/>
          <w:color w:val="000000"/>
          <w:sz w:val="21"/>
          <w:szCs w:val="21"/>
        </w:rPr>
      </w:pPr>
      <w:r>
        <w:rPr>
          <w:rFonts w:hint="eastAsia" w:eastAsia="仿宋"/>
          <w:color w:val="000000"/>
          <w:sz w:val="21"/>
          <w:szCs w:val="21"/>
        </w:rPr>
        <w:t>1）选择安全玻璃制品时，充分考虑玻璃的种类、结构、厚度、尺寸，尤其是合理选择安全玻璃制品霞弹袋冲击试验的冲击历程和冲击高度级别等；</w:t>
      </w:r>
    </w:p>
    <w:p>
      <w:pPr>
        <w:pStyle w:val="59"/>
        <w:spacing w:line="360" w:lineRule="exact"/>
        <w:ind w:firstLine="420"/>
        <w:rPr>
          <w:rFonts w:eastAsia="仿宋"/>
          <w:color w:val="000000"/>
          <w:sz w:val="21"/>
          <w:szCs w:val="21"/>
        </w:rPr>
      </w:pPr>
      <w:r>
        <w:rPr>
          <w:rFonts w:hint="eastAsia" w:eastAsia="仿宋"/>
          <w:color w:val="000000"/>
          <w:sz w:val="21"/>
          <w:szCs w:val="21"/>
        </w:rPr>
        <w:t>2）对关键场所的安全玻璃制品采取必要的其他防护；</w:t>
      </w:r>
    </w:p>
    <w:p>
      <w:pPr>
        <w:pStyle w:val="59"/>
        <w:spacing w:line="360" w:lineRule="exact"/>
        <w:ind w:firstLine="420"/>
        <w:rPr>
          <w:rFonts w:eastAsia="仿宋"/>
          <w:color w:val="000000"/>
          <w:sz w:val="21"/>
          <w:szCs w:val="21"/>
        </w:rPr>
      </w:pPr>
      <w:r>
        <w:rPr>
          <w:rFonts w:hint="eastAsia" w:eastAsia="仿宋"/>
          <w:color w:val="000000"/>
          <w:sz w:val="21"/>
          <w:szCs w:val="21"/>
        </w:rPr>
        <w:t>3）关键场所的安全玻璃制品设置容易识别的标识。</w:t>
      </w:r>
    </w:p>
    <w:p>
      <w:pPr>
        <w:pStyle w:val="59"/>
        <w:spacing w:line="360" w:lineRule="exact"/>
        <w:ind w:firstLine="420"/>
        <w:rPr>
          <w:rFonts w:eastAsia="仿宋"/>
          <w:color w:val="000000"/>
          <w:sz w:val="21"/>
          <w:szCs w:val="21"/>
        </w:rPr>
      </w:pPr>
      <w:r>
        <w:rPr>
          <w:rFonts w:hint="eastAsia" w:eastAsia="仿宋"/>
          <w:color w:val="000000"/>
          <w:sz w:val="21"/>
          <w:szCs w:val="21"/>
        </w:rPr>
        <w:t>本款所述包括分隔建筑室内外的玻璃门窗、幕墙、防护栏杆等采用安全玻璃，室内玻璃隔断、玻璃护栏等采用夹胶钢化玻璃以防止自爆伤人。</w:t>
      </w:r>
    </w:p>
    <w:p>
      <w:pPr>
        <w:pStyle w:val="59"/>
        <w:spacing w:line="360" w:lineRule="exact"/>
        <w:ind w:firstLine="420"/>
        <w:rPr>
          <w:rFonts w:eastAsia="仿宋"/>
          <w:color w:val="000000"/>
          <w:sz w:val="21"/>
          <w:szCs w:val="21"/>
        </w:rPr>
      </w:pPr>
      <w:r>
        <w:rPr>
          <w:rFonts w:hint="eastAsia" w:eastAsia="仿宋"/>
          <w:color w:val="000000"/>
          <w:sz w:val="21"/>
          <w:szCs w:val="21"/>
        </w:rPr>
        <w:t>第2款，生活中常见的自动门窗、推拉门、旋转门等夹人事故频频发生，尤其是对于缺乏自我保护能力的孩子来说更为危险。因此，对于人流量大、门窗开合频繁的位置，可采用可调力度的闭门器或具有缓冲功能的延时闭门器等措施，防止夹人伤人事故的发生。</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本条的评价方法为：预评价查阅相关设计文件等；评价查阅相关竣工图、安全玻璃及门窗检测检验报告。</w:t>
      </w:r>
    </w:p>
    <w:p>
      <w:pPr>
        <w:pStyle w:val="59"/>
        <w:spacing w:line="360" w:lineRule="exact"/>
        <w:ind w:firstLine="0" w:firstLineChars="0"/>
        <w:rPr>
          <w:bCs/>
          <w:color w:val="000000"/>
          <w:sz w:val="21"/>
          <w:szCs w:val="21"/>
        </w:rPr>
      </w:pPr>
      <w:r>
        <w:rPr>
          <w:b/>
          <w:bCs/>
          <w:color w:val="000000"/>
          <w:sz w:val="21"/>
          <w:szCs w:val="21"/>
        </w:rPr>
        <w:t>4.2.3</w:t>
      </w:r>
      <w:r>
        <w:rPr>
          <w:rFonts w:hint="eastAsia"/>
          <w:b/>
          <w:bCs/>
          <w:color w:val="000000"/>
          <w:sz w:val="21"/>
          <w:szCs w:val="21"/>
        </w:rPr>
        <w:t xml:space="preserve">  </w:t>
      </w:r>
      <w:r>
        <w:rPr>
          <w:rFonts w:hint="eastAsia"/>
          <w:bCs/>
          <w:color w:val="000000"/>
          <w:sz w:val="21"/>
          <w:szCs w:val="21"/>
        </w:rPr>
        <w:t>建筑</w:t>
      </w:r>
      <w:r>
        <w:rPr>
          <w:bCs/>
          <w:color w:val="000000"/>
          <w:sz w:val="21"/>
          <w:szCs w:val="21"/>
        </w:rPr>
        <w:t>地面设置防滑措施，评价总分值为10分，并按下列规则分别评分并累计：</w:t>
      </w:r>
    </w:p>
    <w:p>
      <w:pPr>
        <w:adjustRightInd w:val="0"/>
        <w:spacing w:line="360" w:lineRule="atLeast"/>
        <w:ind w:firstLine="420" w:firstLineChars="200"/>
        <w:outlineLvl w:val="2"/>
        <w:rPr>
          <w:bCs/>
          <w:color w:val="000000"/>
          <w:szCs w:val="21"/>
        </w:rPr>
      </w:pPr>
      <w:r>
        <w:rPr>
          <w:rFonts w:hint="eastAsia"/>
          <w:bCs/>
          <w:color w:val="000000"/>
          <w:szCs w:val="21"/>
        </w:rPr>
        <w:t>1建筑出入口及平台、公共走廊、电梯门厅、厨房、浴室、卫生间等设置防滑措施，防滑等级不低于现行行业标准《建筑地面工程防滑技术规程》JGJ/T331规定的B</w:t>
      </w:r>
      <w:r>
        <w:rPr>
          <w:bCs/>
          <w:color w:val="000000"/>
          <w:szCs w:val="21"/>
        </w:rPr>
        <w:t>d</w:t>
      </w:r>
      <w:r>
        <w:rPr>
          <w:rFonts w:hint="eastAsia"/>
          <w:bCs/>
          <w:color w:val="000000"/>
          <w:szCs w:val="21"/>
        </w:rPr>
        <w:t>、Bw级，得3分；</w:t>
      </w:r>
    </w:p>
    <w:p>
      <w:pPr>
        <w:adjustRightInd w:val="0"/>
        <w:spacing w:line="360" w:lineRule="atLeast"/>
        <w:ind w:firstLine="420" w:firstLineChars="200"/>
        <w:outlineLvl w:val="2"/>
        <w:rPr>
          <w:bCs/>
          <w:color w:val="000000"/>
          <w:szCs w:val="21"/>
        </w:rPr>
      </w:pPr>
      <w:r>
        <w:rPr>
          <w:rFonts w:hint="eastAsia"/>
          <w:bCs/>
          <w:color w:val="000000"/>
          <w:szCs w:val="21"/>
        </w:rPr>
        <w:t>2建筑室内活动场所采用防滑地面，防滑等级达到现行行业标准《建筑地面工程防滑技术规程》JGJ/T331规定的A</w:t>
      </w:r>
      <w:r>
        <w:rPr>
          <w:bCs/>
          <w:color w:val="000000"/>
          <w:szCs w:val="21"/>
        </w:rPr>
        <w:t>d</w:t>
      </w:r>
      <w:r>
        <w:rPr>
          <w:rFonts w:hint="eastAsia"/>
          <w:bCs/>
          <w:color w:val="000000"/>
          <w:szCs w:val="21"/>
        </w:rPr>
        <w:t>、Aw级，得4分；</w:t>
      </w:r>
    </w:p>
    <w:p>
      <w:pPr>
        <w:adjustRightInd w:val="0"/>
        <w:spacing w:line="360" w:lineRule="atLeast"/>
        <w:ind w:firstLine="420" w:firstLineChars="200"/>
        <w:outlineLvl w:val="2"/>
        <w:rPr>
          <w:bCs/>
          <w:color w:val="000000"/>
          <w:szCs w:val="21"/>
        </w:rPr>
      </w:pPr>
      <w:r>
        <w:rPr>
          <w:rFonts w:hint="eastAsia"/>
          <w:bCs/>
          <w:color w:val="000000"/>
          <w:szCs w:val="21"/>
        </w:rPr>
        <w:t>3建筑坡道、楼梯踏步防滑等级达到现行行业标准《建筑地面工程防滑技术规程》JGJ/T331规定的A</w:t>
      </w:r>
      <w:r>
        <w:rPr>
          <w:bCs/>
          <w:color w:val="000000"/>
          <w:szCs w:val="21"/>
        </w:rPr>
        <w:t>d</w:t>
      </w:r>
      <w:r>
        <w:rPr>
          <w:rFonts w:hint="eastAsia"/>
          <w:bCs/>
          <w:color w:val="000000"/>
          <w:szCs w:val="21"/>
        </w:rPr>
        <w:t>、Aw级或按水平地面等级提高一级，并采用防滑条等防滑构造技术措施，得3分。</w:t>
      </w:r>
    </w:p>
    <w:p>
      <w:pPr>
        <w:tabs>
          <w:tab w:val="left" w:pos="4570"/>
        </w:tabs>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r>
        <w:rPr>
          <w:color w:val="000000"/>
          <w:szCs w:val="20"/>
        </w:rPr>
        <w:tab/>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3</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ind w:firstLine="420"/>
        <w:jc w:val="left"/>
        <w:rPr>
          <w:rFonts w:eastAsia="仿宋"/>
          <w:color w:val="000000"/>
          <w:sz w:val="21"/>
          <w:szCs w:val="21"/>
        </w:rPr>
      </w:pPr>
      <w:r>
        <w:rPr>
          <w:rFonts w:hint="eastAsia" w:eastAsia="仿宋"/>
          <w:color w:val="000000"/>
          <w:sz w:val="21"/>
          <w:szCs w:val="21"/>
        </w:rPr>
        <w:t>建筑防滑地面工程对于保证人身安全至关重要。光亮、光滑的室内地面，因雨雪天气造成的室外湿滑地面和浴室、厕所等湿滑地面极易导致伤害事故。按现行行业标准《建筑地面工程防滑技术规程》JGJ/T331的规定，A</w:t>
      </w:r>
      <w:r>
        <w:rPr>
          <w:rFonts w:hint="eastAsia" w:eastAsia="仿宋"/>
          <w:color w:val="000000"/>
          <w:sz w:val="21"/>
          <w:szCs w:val="21"/>
          <w:vertAlign w:val="subscript"/>
        </w:rPr>
        <w:t>w</w:t>
      </w:r>
      <w:r>
        <w:rPr>
          <w:rFonts w:hint="eastAsia" w:eastAsia="仿宋"/>
          <w:color w:val="000000"/>
          <w:sz w:val="21"/>
          <w:szCs w:val="21"/>
        </w:rPr>
        <w:t>、B</w:t>
      </w:r>
      <w:r>
        <w:rPr>
          <w:rFonts w:eastAsia="仿宋"/>
          <w:color w:val="000000"/>
          <w:sz w:val="21"/>
          <w:szCs w:val="21"/>
          <w:vertAlign w:val="subscript"/>
        </w:rPr>
        <w:t>w</w:t>
      </w:r>
      <w:r>
        <w:rPr>
          <w:rFonts w:hint="eastAsia" w:eastAsia="仿宋"/>
          <w:color w:val="000000"/>
          <w:sz w:val="21"/>
          <w:szCs w:val="21"/>
        </w:rPr>
        <w:t>、C</w:t>
      </w:r>
      <w:r>
        <w:rPr>
          <w:rFonts w:eastAsia="仿宋"/>
          <w:color w:val="000000"/>
          <w:sz w:val="21"/>
          <w:szCs w:val="21"/>
          <w:vertAlign w:val="subscript"/>
        </w:rPr>
        <w:t>w</w:t>
      </w:r>
      <w:r>
        <w:rPr>
          <w:rFonts w:hint="eastAsia" w:eastAsia="仿宋"/>
          <w:color w:val="000000"/>
          <w:sz w:val="21"/>
          <w:szCs w:val="21"/>
        </w:rPr>
        <w:t>、D</w:t>
      </w:r>
      <w:r>
        <w:rPr>
          <w:rFonts w:eastAsia="仿宋"/>
          <w:color w:val="000000"/>
          <w:sz w:val="21"/>
          <w:szCs w:val="21"/>
          <w:vertAlign w:val="subscript"/>
        </w:rPr>
        <w:t>w</w:t>
      </w:r>
      <w:r>
        <w:rPr>
          <w:rFonts w:hint="eastAsia" w:eastAsia="仿宋"/>
          <w:color w:val="000000"/>
          <w:sz w:val="21"/>
          <w:szCs w:val="21"/>
        </w:rPr>
        <w:t>分别表示潮湿地面防滑安全程度为高级、中高级、中级、低级，A</w:t>
      </w:r>
      <w:r>
        <w:rPr>
          <w:rFonts w:eastAsia="仿宋"/>
          <w:color w:val="000000"/>
          <w:sz w:val="21"/>
          <w:szCs w:val="21"/>
          <w:vertAlign w:val="subscript"/>
        </w:rPr>
        <w:t>d</w:t>
      </w:r>
      <w:r>
        <w:rPr>
          <w:rFonts w:hint="eastAsia" w:eastAsia="仿宋"/>
          <w:color w:val="000000"/>
          <w:sz w:val="21"/>
          <w:szCs w:val="21"/>
        </w:rPr>
        <w:t>、B</w:t>
      </w:r>
      <w:r>
        <w:rPr>
          <w:rFonts w:eastAsia="仿宋"/>
          <w:color w:val="000000"/>
          <w:sz w:val="21"/>
          <w:szCs w:val="21"/>
          <w:vertAlign w:val="subscript"/>
        </w:rPr>
        <w:t>d</w:t>
      </w:r>
      <w:r>
        <w:rPr>
          <w:rFonts w:hint="eastAsia" w:eastAsia="仿宋"/>
          <w:color w:val="000000"/>
          <w:sz w:val="21"/>
          <w:szCs w:val="21"/>
        </w:rPr>
        <w:t>、C</w:t>
      </w:r>
      <w:r>
        <w:rPr>
          <w:rFonts w:eastAsia="仿宋"/>
          <w:color w:val="000000"/>
          <w:sz w:val="21"/>
          <w:szCs w:val="21"/>
          <w:vertAlign w:val="subscript"/>
        </w:rPr>
        <w:t>d</w:t>
      </w:r>
      <w:r>
        <w:rPr>
          <w:rFonts w:hint="eastAsia" w:eastAsia="仿宋"/>
          <w:color w:val="000000"/>
          <w:sz w:val="21"/>
          <w:szCs w:val="21"/>
        </w:rPr>
        <w:t>、D</w:t>
      </w:r>
      <w:r>
        <w:rPr>
          <w:rFonts w:eastAsia="仿宋"/>
          <w:color w:val="000000"/>
          <w:sz w:val="21"/>
          <w:szCs w:val="21"/>
          <w:vertAlign w:val="subscript"/>
        </w:rPr>
        <w:t>d</w:t>
      </w:r>
      <w:r>
        <w:rPr>
          <w:rFonts w:hint="eastAsia" w:eastAsia="仿宋"/>
          <w:color w:val="000000"/>
          <w:sz w:val="21"/>
          <w:szCs w:val="21"/>
        </w:rPr>
        <w:t>分别表示干态地面防滑安全程度为高级、中高级、中级、低级。</w:t>
      </w:r>
    </w:p>
    <w:p>
      <w:pPr>
        <w:pStyle w:val="59"/>
        <w:ind w:firstLine="420"/>
        <w:rPr>
          <w:rFonts w:eastAsia="仿宋"/>
          <w:color w:val="000000"/>
          <w:sz w:val="21"/>
          <w:szCs w:val="21"/>
        </w:rPr>
      </w:pPr>
      <w:r>
        <w:rPr>
          <w:rFonts w:hint="eastAsia" w:eastAsia="仿宋"/>
          <w:color w:val="000000"/>
          <w:sz w:val="21"/>
          <w:szCs w:val="21"/>
        </w:rPr>
        <w:t>本条的评价方法为：预评价查阅施工图；评价查阅竣工图和有关测试报告，必要时现场核查。</w:t>
      </w:r>
    </w:p>
    <w:p>
      <w:pPr>
        <w:pStyle w:val="59"/>
        <w:spacing w:line="360" w:lineRule="exact"/>
        <w:ind w:firstLine="0" w:firstLineChars="0"/>
        <w:rPr>
          <w:bCs/>
          <w:color w:val="000000"/>
          <w:sz w:val="21"/>
          <w:szCs w:val="21"/>
          <w:bdr w:val="single" w:color="auto" w:sz="4" w:space="0"/>
        </w:rPr>
      </w:pPr>
      <w:r>
        <w:rPr>
          <w:b/>
          <w:bCs/>
          <w:color w:val="000000"/>
          <w:sz w:val="21"/>
          <w:szCs w:val="21"/>
        </w:rPr>
        <w:t>4.2.4</w:t>
      </w:r>
      <w:r>
        <w:rPr>
          <w:rFonts w:hint="eastAsia"/>
          <w:b/>
          <w:bCs/>
          <w:color w:val="000000"/>
          <w:sz w:val="21"/>
          <w:szCs w:val="21"/>
        </w:rPr>
        <w:t xml:space="preserve">  </w:t>
      </w:r>
      <w:r>
        <w:rPr>
          <w:rFonts w:hint="eastAsia"/>
          <w:bCs/>
          <w:color w:val="000000"/>
          <w:sz w:val="21"/>
          <w:szCs w:val="21"/>
        </w:rPr>
        <w:t>厨房等区域应安装火灾烟雾报警器或设备系统，</w:t>
      </w:r>
      <w:r>
        <w:rPr>
          <w:bCs/>
          <w:color w:val="000000"/>
          <w:sz w:val="21"/>
          <w:szCs w:val="21"/>
        </w:rPr>
        <w:t>设置自动报警</w:t>
      </w:r>
      <w:r>
        <w:rPr>
          <w:rFonts w:hint="eastAsia"/>
          <w:bCs/>
          <w:color w:val="000000"/>
          <w:sz w:val="21"/>
          <w:szCs w:val="21"/>
        </w:rPr>
        <w:t>装置</w:t>
      </w:r>
      <w:r>
        <w:rPr>
          <w:bCs/>
          <w:color w:val="000000"/>
          <w:sz w:val="21"/>
          <w:szCs w:val="21"/>
        </w:rPr>
        <w:t>和</w:t>
      </w:r>
      <w:r>
        <w:rPr>
          <w:rFonts w:hint="eastAsia"/>
          <w:bCs/>
          <w:color w:val="000000"/>
          <w:sz w:val="21"/>
          <w:szCs w:val="21"/>
        </w:rPr>
        <w:t>自动灭火</w:t>
      </w:r>
      <w:r>
        <w:rPr>
          <w:bCs/>
          <w:color w:val="000000"/>
          <w:sz w:val="21"/>
          <w:szCs w:val="21"/>
        </w:rPr>
        <w:t>系统</w:t>
      </w:r>
      <w:r>
        <w:rPr>
          <w:rFonts w:hint="eastAsia"/>
          <w:bCs/>
          <w:color w:val="000000"/>
          <w:sz w:val="21"/>
          <w:szCs w:val="21"/>
        </w:rPr>
        <w:t>，</w:t>
      </w:r>
      <w:r>
        <w:rPr>
          <w:bCs/>
          <w:color w:val="000000"/>
          <w:sz w:val="21"/>
          <w:szCs w:val="21"/>
        </w:rPr>
        <w:t>得5</w:t>
      </w:r>
      <w:r>
        <w:rPr>
          <w:rFonts w:hint="eastAsia"/>
          <w:bCs/>
          <w:color w:val="000000"/>
          <w:sz w:val="21"/>
          <w:szCs w:val="21"/>
        </w:rPr>
        <w:t>分</w:t>
      </w:r>
      <w:r>
        <w:rPr>
          <w:bCs/>
          <w:color w:val="000000"/>
          <w:sz w:val="21"/>
          <w:szCs w:val="21"/>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4</w:t>
      </w:r>
      <w:r>
        <w:rPr>
          <w:rFonts w:hint="eastAsia"/>
          <w:b/>
          <w:color w:val="000000"/>
          <w:sz w:val="21"/>
          <w:szCs w:val="21"/>
        </w:rPr>
        <w:t xml:space="preserve">  </w:t>
      </w:r>
      <w:r>
        <w:rPr>
          <w:rFonts w:hint="eastAsia" w:eastAsia="仿宋"/>
          <w:color w:val="000000"/>
          <w:sz w:val="21"/>
          <w:szCs w:val="21"/>
        </w:rPr>
        <w:t>本条适用于各类民用建筑全装修的预评价、评价。不设置</w:t>
      </w:r>
      <w:r>
        <w:rPr>
          <w:rFonts w:eastAsia="仿宋"/>
          <w:color w:val="000000"/>
          <w:sz w:val="21"/>
          <w:szCs w:val="21"/>
        </w:rPr>
        <w:t>厨房的公共建筑本条直接得分。</w:t>
      </w:r>
    </w:p>
    <w:p>
      <w:pPr>
        <w:pStyle w:val="59"/>
        <w:ind w:firstLine="420"/>
        <w:rPr>
          <w:rFonts w:eastAsia="仿宋"/>
          <w:color w:val="000000"/>
          <w:sz w:val="21"/>
          <w:szCs w:val="21"/>
        </w:rPr>
      </w:pPr>
      <w:r>
        <w:rPr>
          <w:rFonts w:hint="eastAsia" w:eastAsia="仿宋"/>
          <w:color w:val="000000"/>
          <w:sz w:val="21"/>
          <w:szCs w:val="21"/>
        </w:rPr>
        <w:t>本条的评价方法为：预评价查阅施工图；评价查阅竣工图和有关测试报告，必要时现场核查。</w:t>
      </w:r>
    </w:p>
    <w:p>
      <w:pPr>
        <w:pStyle w:val="59"/>
        <w:spacing w:line="360" w:lineRule="exact"/>
        <w:ind w:firstLine="0" w:firstLineChars="0"/>
        <w:rPr>
          <w:bCs/>
          <w:color w:val="000000"/>
          <w:sz w:val="21"/>
          <w:szCs w:val="21"/>
        </w:rPr>
      </w:pPr>
      <w:bookmarkStart w:id="72" w:name="_bookmark9"/>
      <w:bookmarkEnd w:id="72"/>
      <w:r>
        <w:rPr>
          <w:b/>
          <w:bCs/>
          <w:color w:val="000000"/>
          <w:sz w:val="21"/>
          <w:szCs w:val="21"/>
        </w:rPr>
        <w:t>4.2.5</w:t>
      </w:r>
      <w:r>
        <w:rPr>
          <w:rFonts w:hint="eastAsia"/>
          <w:b/>
          <w:bCs/>
          <w:color w:val="000000"/>
          <w:sz w:val="21"/>
          <w:szCs w:val="21"/>
        </w:rPr>
        <w:t xml:space="preserve">  </w:t>
      </w:r>
      <w:r>
        <w:rPr>
          <w:rFonts w:hint="eastAsia"/>
          <w:bCs/>
          <w:color w:val="000000"/>
          <w:sz w:val="21"/>
          <w:szCs w:val="21"/>
        </w:rPr>
        <w:t>采取提升室内装修适变性的措施，评价总分值为</w:t>
      </w:r>
      <w:r>
        <w:rPr>
          <w:bCs/>
          <w:color w:val="000000"/>
          <w:sz w:val="21"/>
          <w:szCs w:val="21"/>
        </w:rPr>
        <w:t>14</w:t>
      </w:r>
      <w:r>
        <w:rPr>
          <w:rFonts w:hint="eastAsia"/>
          <w:bCs/>
          <w:color w:val="000000"/>
          <w:sz w:val="21"/>
          <w:szCs w:val="21"/>
        </w:rPr>
        <w:t>分，并按下列规则分别评分并累计：</w:t>
      </w:r>
    </w:p>
    <w:p>
      <w:pPr>
        <w:pStyle w:val="59"/>
        <w:spacing w:line="360" w:lineRule="exact"/>
        <w:ind w:firstLine="420"/>
        <w:rPr>
          <w:bCs/>
          <w:color w:val="000000"/>
          <w:sz w:val="21"/>
          <w:szCs w:val="21"/>
        </w:rPr>
      </w:pPr>
      <w:r>
        <w:rPr>
          <w:rFonts w:hint="eastAsia"/>
          <w:bCs/>
          <w:color w:val="000000"/>
          <w:sz w:val="21"/>
          <w:szCs w:val="21"/>
        </w:rPr>
        <w:t>1采取通用开放、灵活可变的使用空间设计，或采取建筑使用功能可变措施，得</w:t>
      </w:r>
      <w:r>
        <w:rPr>
          <w:bCs/>
          <w:color w:val="000000"/>
          <w:sz w:val="21"/>
          <w:szCs w:val="21"/>
        </w:rPr>
        <w:t>5</w:t>
      </w:r>
      <w:r>
        <w:rPr>
          <w:rFonts w:hint="eastAsia"/>
          <w:bCs/>
          <w:color w:val="000000"/>
          <w:sz w:val="21"/>
          <w:szCs w:val="21"/>
        </w:rPr>
        <w:t>分；</w:t>
      </w:r>
    </w:p>
    <w:p>
      <w:pPr>
        <w:pStyle w:val="59"/>
        <w:spacing w:line="360" w:lineRule="exact"/>
        <w:ind w:firstLine="420"/>
        <w:rPr>
          <w:bCs/>
          <w:color w:val="000000"/>
          <w:sz w:val="21"/>
          <w:szCs w:val="21"/>
        </w:rPr>
      </w:pPr>
      <w:r>
        <w:rPr>
          <w:rFonts w:hint="eastAsia"/>
          <w:bCs/>
          <w:color w:val="000000"/>
          <w:sz w:val="21"/>
          <w:szCs w:val="21"/>
        </w:rPr>
        <w:t>2建筑结构与建筑设备管线分离，得</w:t>
      </w:r>
      <w:r>
        <w:rPr>
          <w:bCs/>
          <w:color w:val="000000"/>
          <w:sz w:val="21"/>
          <w:szCs w:val="21"/>
        </w:rPr>
        <w:t>5</w:t>
      </w:r>
      <w:r>
        <w:rPr>
          <w:rFonts w:hint="eastAsia"/>
          <w:bCs/>
          <w:color w:val="000000"/>
          <w:sz w:val="21"/>
          <w:szCs w:val="21"/>
        </w:rPr>
        <w:t>分；</w:t>
      </w:r>
    </w:p>
    <w:p>
      <w:pPr>
        <w:pStyle w:val="59"/>
        <w:spacing w:line="360" w:lineRule="exact"/>
        <w:ind w:firstLine="420"/>
        <w:rPr>
          <w:bCs/>
          <w:color w:val="000000"/>
          <w:sz w:val="21"/>
          <w:szCs w:val="21"/>
        </w:rPr>
      </w:pPr>
      <w:r>
        <w:rPr>
          <w:rFonts w:hint="eastAsia"/>
          <w:bCs/>
          <w:color w:val="000000"/>
          <w:sz w:val="21"/>
          <w:szCs w:val="21"/>
        </w:rPr>
        <w:t>3采用与建筑功能和空间变化相适应的设备设施布置方式或控制方式，得4分。</w:t>
      </w:r>
    </w:p>
    <w:p>
      <w:pPr>
        <w:tabs>
          <w:tab w:val="left" w:pos="4570"/>
        </w:tabs>
        <w:adjustRightInd w:val="0"/>
        <w:spacing w:line="360" w:lineRule="atLeast"/>
        <w:outlineLvl w:val="2"/>
        <w:rPr>
          <w:color w:val="000000"/>
          <w:szCs w:val="20"/>
        </w:rPr>
      </w:pPr>
      <w:r>
        <w:rPr>
          <w:rFonts w:hint="eastAsia"/>
          <w:color w:val="000000"/>
          <w:szCs w:val="20"/>
        </w:rPr>
        <w:t>【条文说明】</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5</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第1 款，建筑使用功能可变是指外部围护结构或内部空间、组合单元或建筑整体可根据建筑功能的需求而变动、更新。根据变形部位，可以分为内部空间可变、外部形态可变、可重组式可变、柔性结构可变及其他变形五种类型。建筑功能可变在实用层面具有许多优点，诸如良好的适应性、空间的丰富性、资源的节约性和可持续发展性，其中最为突出的是其自身特有的良好适应性。如：①对气候的适应性；②对个性化的适应性；③对多功能的适应性，如商业建筑、办公建筑等可采用灵活隔断等措施提升建筑适变性。</w:t>
      </w:r>
    </w:p>
    <w:p>
      <w:pPr>
        <w:pStyle w:val="59"/>
        <w:spacing w:line="360" w:lineRule="exact"/>
        <w:ind w:firstLine="420"/>
        <w:rPr>
          <w:rFonts w:eastAsia="仿宋"/>
          <w:color w:val="000000"/>
          <w:sz w:val="21"/>
          <w:szCs w:val="21"/>
        </w:rPr>
      </w:pPr>
      <w:r>
        <w:rPr>
          <w:rFonts w:hint="eastAsia" w:eastAsia="仿宋"/>
          <w:color w:val="000000"/>
          <w:sz w:val="21"/>
          <w:szCs w:val="21"/>
        </w:rPr>
        <w:t>第2 款，根据现行行业标准《装配式住宅建筑设计标准》JGJ 398 的规定，管线分离是指建筑结构体中不埋设设备及管线，将设备及管线与建筑结构体相分离的方式。管线与结构、墙体的寿命不同，给建筑全寿命期的使用和维护带来了很大的困难。建筑结构与设备管线分离设计，可有利于建筑的长寿化。建筑结构不仅仅指建筑主体结构，还包括外围护结构和公共管井等可保持长久不变的部分。建筑结构与设备管线分离设计便于设备管线维护更新，可保证建筑能够较为便捷地进行管线改造与更换，从而达到延长建筑使用寿命目的。装配式建筑采用SI体系，即支撑体S（Skeleton）和填充体I（Infill）相分离的建筑体系，可认为实现了建筑主体结构与建筑设备管线分离。</w:t>
      </w:r>
    </w:p>
    <w:p>
      <w:pPr>
        <w:pStyle w:val="59"/>
        <w:spacing w:line="360" w:lineRule="exact"/>
        <w:ind w:firstLine="420"/>
        <w:rPr>
          <w:rFonts w:eastAsia="仿宋"/>
          <w:color w:val="000000"/>
          <w:sz w:val="21"/>
          <w:szCs w:val="21"/>
        </w:rPr>
      </w:pPr>
      <w:r>
        <w:rPr>
          <w:rFonts w:hint="eastAsia" w:eastAsia="仿宋"/>
          <w:color w:val="000000"/>
          <w:sz w:val="21"/>
          <w:szCs w:val="21"/>
        </w:rPr>
        <w:t>第3 款，可移动控制主要指灵活分散的控制措施、可移动的人机控制界面、分散独立的控制方式等。灵活分散的控制措施主要包括采用无线信息采集传感器，如无线温湿度、照度、人员感应传感器等；可移动的人机控制界面主要包括无线开关、红外遥控器、手机APP 等智能终端设备；分散独立的控制方式主要包括采用分布式计算单元、数字寻址控制、POE 供电等适应空间可变的控制装置或控制方式。另外，对于用电安全性和供电质量要求高、直流用电负载大，以及光伏、蓄电等分布式电源占比高的建筑，宜考虑直流供电系统。</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本条的评价方法为：预评价查阅相关设计文件、建筑适变性提升措施的设计说明；评价阶段查阅相关竣工图、建筑适变性提升措施的设计说明和运行效果，必要时现场核查。</w:t>
      </w:r>
    </w:p>
    <w:p>
      <w:pPr>
        <w:pStyle w:val="59"/>
        <w:spacing w:line="360" w:lineRule="exact"/>
        <w:ind w:firstLine="0" w:firstLineChars="0"/>
        <w:rPr>
          <w:bCs/>
          <w:color w:val="000000"/>
          <w:sz w:val="21"/>
          <w:szCs w:val="21"/>
        </w:rPr>
      </w:pPr>
      <w:r>
        <w:rPr>
          <w:b/>
          <w:bCs/>
          <w:color w:val="000000"/>
          <w:sz w:val="21"/>
          <w:szCs w:val="21"/>
        </w:rPr>
        <w:t>4.2.6</w:t>
      </w:r>
      <w:r>
        <w:rPr>
          <w:rFonts w:hint="eastAsia"/>
          <w:b/>
          <w:bCs/>
          <w:color w:val="000000"/>
          <w:sz w:val="21"/>
          <w:szCs w:val="21"/>
        </w:rPr>
        <w:t xml:space="preserve">  </w:t>
      </w:r>
      <w:r>
        <w:rPr>
          <w:bCs/>
          <w:color w:val="000000"/>
          <w:sz w:val="21"/>
          <w:szCs w:val="21"/>
        </w:rPr>
        <w:t>采取提升</w:t>
      </w:r>
      <w:r>
        <w:rPr>
          <w:rFonts w:hint="eastAsia"/>
          <w:bCs/>
          <w:color w:val="000000"/>
          <w:sz w:val="21"/>
          <w:szCs w:val="21"/>
        </w:rPr>
        <w:t>全装修</w:t>
      </w:r>
      <w:r>
        <w:rPr>
          <w:bCs/>
          <w:color w:val="000000"/>
          <w:sz w:val="21"/>
          <w:szCs w:val="21"/>
        </w:rPr>
        <w:t>部品部件耐久性的措施，评价总分值为8分，并按下列规则分别评分并累计：</w:t>
      </w:r>
    </w:p>
    <w:p>
      <w:pPr>
        <w:pStyle w:val="59"/>
        <w:spacing w:line="360" w:lineRule="exact"/>
        <w:ind w:firstLine="420"/>
        <w:rPr>
          <w:bCs/>
          <w:color w:val="000000"/>
          <w:sz w:val="21"/>
          <w:szCs w:val="21"/>
        </w:rPr>
      </w:pPr>
      <w:r>
        <w:rPr>
          <w:bCs/>
          <w:color w:val="000000"/>
          <w:sz w:val="21"/>
          <w:szCs w:val="21"/>
        </w:rPr>
        <w:t>1使用耐腐蚀、抗老化、耐久性能好的管材、管线、管件，得4分；</w:t>
      </w:r>
    </w:p>
    <w:p>
      <w:pPr>
        <w:pStyle w:val="59"/>
        <w:spacing w:line="360" w:lineRule="exact"/>
        <w:ind w:firstLine="420"/>
        <w:rPr>
          <w:bCs/>
          <w:color w:val="000000"/>
          <w:sz w:val="21"/>
          <w:szCs w:val="21"/>
        </w:rPr>
      </w:pPr>
      <w:r>
        <w:rPr>
          <w:bCs/>
          <w:color w:val="000000"/>
          <w:sz w:val="21"/>
          <w:szCs w:val="21"/>
        </w:rPr>
        <w:t>2活动配件选用长寿命产品，并考虑部品组合的同寿命性；不同使用寿命的部品组合时，采用便于分别拆换、更新和升级的构造，得4分。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6</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活动配件指建筑的各种五金配件、管道阀门、开关龙头等，考虑选用长寿命的优质产品，且构造上易于更换。同时还应考虑为维护、更换操作提供方便条件。部分常见的耐腐蚀、</w:t>
      </w:r>
    </w:p>
    <w:p>
      <w:pPr>
        <w:pStyle w:val="59"/>
        <w:spacing w:line="360" w:lineRule="exact"/>
        <w:ind w:firstLine="0" w:firstLineChars="0"/>
        <w:rPr>
          <w:rFonts w:eastAsia="仿宋"/>
          <w:color w:val="000000"/>
          <w:sz w:val="21"/>
          <w:szCs w:val="21"/>
        </w:rPr>
      </w:pPr>
      <w:r>
        <w:rPr>
          <w:rFonts w:hint="eastAsia" w:eastAsia="仿宋"/>
          <w:color w:val="000000"/>
          <w:sz w:val="21"/>
          <w:szCs w:val="21"/>
        </w:rPr>
        <w:t>抗老化、耐久性能好的部品部件见表</w:t>
      </w:r>
      <w:r>
        <w:rPr>
          <w:rFonts w:eastAsia="仿宋"/>
          <w:color w:val="000000"/>
          <w:sz w:val="21"/>
          <w:szCs w:val="21"/>
        </w:rPr>
        <w:t>4.2.6</w:t>
      </w:r>
      <w:r>
        <w:rPr>
          <w:rFonts w:hint="eastAsia" w:eastAsia="仿宋"/>
          <w:color w:val="000000"/>
          <w:sz w:val="21"/>
          <w:szCs w:val="21"/>
        </w:rPr>
        <w:t>。</w:t>
      </w:r>
    </w:p>
    <w:p>
      <w:pPr>
        <w:pStyle w:val="59"/>
        <w:spacing w:line="360" w:lineRule="exact"/>
        <w:ind w:firstLine="0" w:firstLineChars="0"/>
        <w:jc w:val="center"/>
        <w:rPr>
          <w:rFonts w:eastAsia="仿宋"/>
          <w:color w:val="000000"/>
          <w:sz w:val="21"/>
          <w:szCs w:val="21"/>
        </w:rPr>
      </w:pPr>
      <w:r>
        <w:rPr>
          <w:rFonts w:hint="eastAsia" w:eastAsia="仿宋"/>
          <w:color w:val="000000"/>
          <w:sz w:val="21"/>
          <w:szCs w:val="21"/>
        </w:rPr>
        <w:t>表</w:t>
      </w:r>
      <w:r>
        <w:rPr>
          <w:rFonts w:eastAsia="仿宋"/>
          <w:color w:val="000000"/>
          <w:sz w:val="21"/>
          <w:szCs w:val="21"/>
        </w:rPr>
        <w:t>4.2.6</w:t>
      </w:r>
      <w:r>
        <w:rPr>
          <w:rFonts w:hint="eastAsia" w:eastAsia="仿宋"/>
          <w:color w:val="000000"/>
          <w:sz w:val="21"/>
          <w:szCs w:val="21"/>
        </w:rPr>
        <w:t xml:space="preserve"> 部分常见的耐腐蚀、抗老化、耐久性能好部品部件及要求</w:t>
      </w:r>
    </w:p>
    <w:p>
      <w:pPr>
        <w:pStyle w:val="59"/>
        <w:spacing w:line="240" w:lineRule="auto"/>
        <w:ind w:firstLine="0" w:firstLineChars="0"/>
        <w:jc w:val="center"/>
        <w:rPr>
          <w:rFonts w:eastAsia="仿宋"/>
          <w:color w:val="000000"/>
          <w:sz w:val="21"/>
          <w:szCs w:val="21"/>
        </w:rPr>
      </w:pPr>
      <w:r>
        <w:rPr>
          <w:rFonts w:hint="eastAsia" w:ascii="Times New Roman" w:hAnsi="Times New Roman" w:eastAsia="仿宋" w:cs="Times New Roman"/>
          <w:color w:val="000000"/>
          <w:kern w:val="2"/>
          <w:sz w:val="21"/>
          <w:szCs w:val="21"/>
          <w:lang w:val="en-US" w:eastAsia="zh-CN" w:bidi="ar-SA"/>
        </w:rPr>
        <w:pict>
          <v:shape id="图片 4" o:spid="_x0000_s1029" type="#_x0000_t75" style="height:145.7pt;width:294.8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本条的评价方法为：预评价查阅相关设计文件和证明文件；评价查阅相关竣工图和部品说明书或检测报告。</w:t>
      </w:r>
    </w:p>
    <w:p>
      <w:pPr>
        <w:pStyle w:val="59"/>
        <w:spacing w:line="360" w:lineRule="exact"/>
        <w:ind w:firstLine="0" w:firstLineChars="0"/>
        <w:rPr>
          <w:bCs/>
          <w:color w:val="000000"/>
          <w:sz w:val="21"/>
          <w:szCs w:val="21"/>
        </w:rPr>
      </w:pPr>
      <w:r>
        <w:rPr>
          <w:b/>
          <w:bCs/>
          <w:color w:val="000000"/>
          <w:sz w:val="21"/>
          <w:szCs w:val="21"/>
        </w:rPr>
        <w:t>4.2.7</w:t>
      </w:r>
      <w:r>
        <w:rPr>
          <w:rFonts w:hint="eastAsia"/>
          <w:b/>
          <w:bCs/>
          <w:color w:val="000000"/>
          <w:sz w:val="21"/>
          <w:szCs w:val="21"/>
        </w:rPr>
        <w:t xml:space="preserve">  </w:t>
      </w:r>
      <w:r>
        <w:rPr>
          <w:bCs/>
          <w:color w:val="000000"/>
          <w:sz w:val="21"/>
          <w:szCs w:val="21"/>
        </w:rPr>
        <w:t>合理采用耐久性好、易维护的装饰装修建筑材料，评价总分值为7分，并按下列规则分别评分并累计：</w:t>
      </w:r>
    </w:p>
    <w:p>
      <w:pPr>
        <w:pStyle w:val="59"/>
        <w:spacing w:line="360" w:lineRule="exact"/>
        <w:ind w:firstLine="420"/>
        <w:rPr>
          <w:bCs/>
          <w:color w:val="000000"/>
          <w:sz w:val="21"/>
          <w:szCs w:val="21"/>
        </w:rPr>
      </w:pPr>
      <w:r>
        <w:rPr>
          <w:bCs/>
          <w:color w:val="000000"/>
          <w:sz w:val="21"/>
          <w:szCs w:val="21"/>
        </w:rPr>
        <w:t>1采用耐久性好的防水和密封材料，得3分；</w:t>
      </w:r>
    </w:p>
    <w:p>
      <w:pPr>
        <w:pStyle w:val="59"/>
        <w:spacing w:line="360" w:lineRule="exact"/>
        <w:ind w:firstLine="420"/>
        <w:rPr>
          <w:bCs/>
          <w:color w:val="000000"/>
          <w:sz w:val="21"/>
          <w:szCs w:val="21"/>
        </w:rPr>
      </w:pPr>
      <w:r>
        <w:rPr>
          <w:bCs/>
          <w:color w:val="000000"/>
          <w:sz w:val="21"/>
          <w:szCs w:val="21"/>
        </w:rPr>
        <w:t>2采用耐久性好、易维护的室内装饰装修材料，得4分。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7</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为了保持建筑物的风格、视觉效果和人居环境，装饰装修材料在一定使用年限后会进行更新替换。如果使用易沾污、难维护及耐久性差的装饰装修材料或做法，则会在一定程度上增加建筑物的维护成本，且施工也会带来有毒有害物质的排放、粉尘及噪音等问题。对采用耐久性好的装饰装修材料评价内容详见表4.2.</w:t>
      </w:r>
      <w:r>
        <w:rPr>
          <w:rFonts w:eastAsia="仿宋"/>
          <w:color w:val="000000"/>
          <w:sz w:val="21"/>
          <w:szCs w:val="21"/>
        </w:rPr>
        <w:t>7</w:t>
      </w:r>
      <w:r>
        <w:rPr>
          <w:rFonts w:hint="eastAsia" w:eastAsia="仿宋"/>
          <w:color w:val="000000"/>
          <w:sz w:val="21"/>
          <w:szCs w:val="21"/>
        </w:rPr>
        <w:t>。</w:t>
      </w:r>
    </w:p>
    <w:p>
      <w:pPr>
        <w:pStyle w:val="59"/>
        <w:spacing w:line="360" w:lineRule="exact"/>
        <w:ind w:firstLine="0" w:firstLineChars="0"/>
        <w:jc w:val="center"/>
        <w:rPr>
          <w:rFonts w:eastAsia="仿宋"/>
          <w:color w:val="000000"/>
          <w:sz w:val="21"/>
          <w:szCs w:val="21"/>
        </w:rPr>
      </w:pPr>
      <w:r>
        <w:rPr>
          <w:rFonts w:hint="eastAsia" w:eastAsia="仿宋"/>
          <w:color w:val="000000"/>
          <w:sz w:val="21"/>
          <w:szCs w:val="21"/>
        </w:rPr>
        <w:t>表4.2.</w:t>
      </w:r>
      <w:r>
        <w:rPr>
          <w:rFonts w:eastAsia="仿宋"/>
          <w:color w:val="000000"/>
          <w:sz w:val="21"/>
          <w:szCs w:val="21"/>
        </w:rPr>
        <w:t>7</w:t>
      </w:r>
      <w:r>
        <w:rPr>
          <w:rFonts w:hint="eastAsia" w:eastAsia="仿宋"/>
          <w:color w:val="000000"/>
          <w:sz w:val="21"/>
          <w:szCs w:val="21"/>
        </w:rPr>
        <w:t xml:space="preserve">  采用耐久性好的装饰装修材料评价内容</w:t>
      </w:r>
    </w:p>
    <w:p>
      <w:pPr>
        <w:pStyle w:val="59"/>
        <w:spacing w:line="240" w:lineRule="auto"/>
        <w:ind w:firstLine="0" w:firstLineChars="0"/>
        <w:rPr>
          <w:rFonts w:eastAsia="仿宋"/>
          <w:color w:val="000000"/>
          <w:sz w:val="21"/>
          <w:szCs w:val="21"/>
        </w:rPr>
      </w:pPr>
      <w:r>
        <w:rPr>
          <w:rFonts w:ascii="Times New Roman" w:hAnsi="Times New Roman" w:eastAsia="仿宋" w:cs="Times New Roman"/>
          <w:color w:val="000000"/>
          <w:kern w:val="2"/>
          <w:sz w:val="21"/>
          <w:szCs w:val="21"/>
          <w:lang w:val="en-US" w:eastAsia="zh-CN" w:bidi="ar-SA"/>
        </w:rPr>
        <w:pict>
          <v:shape id="图片 3" o:spid="_x0000_s1030" type="#_x0000_t75" style="height:152.05pt;width:294.8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pStyle w:val="59"/>
        <w:ind w:firstLine="420"/>
        <w:rPr>
          <w:rFonts w:eastAsia="仿宋"/>
          <w:color w:val="000000"/>
          <w:sz w:val="21"/>
          <w:szCs w:val="21"/>
        </w:rPr>
      </w:pPr>
      <w:r>
        <w:rPr>
          <w:rFonts w:hint="eastAsia" w:eastAsia="仿宋"/>
          <w:color w:val="000000"/>
          <w:sz w:val="21"/>
          <w:szCs w:val="21"/>
        </w:rPr>
        <w:t>本条的评价方法为：预评价查阅施工图；评价查阅装饰装修竣工图、材料决算清单、材料检测报告及有关证明材料。</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Ⅱ  健康舒适</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8</w:t>
      </w:r>
      <w:r>
        <w:rPr>
          <w:rFonts w:hint="eastAsia"/>
          <w:b/>
          <w:bCs/>
          <w:color w:val="000000"/>
          <w:sz w:val="21"/>
          <w:szCs w:val="21"/>
        </w:rPr>
        <w:t xml:space="preserve">  </w:t>
      </w:r>
      <w:r>
        <w:rPr>
          <w:bCs/>
          <w:color w:val="000000"/>
          <w:sz w:val="21"/>
          <w:szCs w:val="21"/>
        </w:rPr>
        <w:t>控</w:t>
      </w:r>
      <w:r>
        <w:rPr>
          <w:rFonts w:hint="eastAsia"/>
          <w:bCs/>
          <w:color w:val="000000"/>
          <w:sz w:val="21"/>
          <w:szCs w:val="21"/>
        </w:rPr>
        <w:t>控制室内主要空气污染物的浓度，评价总分值为12分，并按下列规则分别评分并累计：</w:t>
      </w:r>
    </w:p>
    <w:p>
      <w:pPr>
        <w:pStyle w:val="59"/>
        <w:spacing w:line="360" w:lineRule="exact"/>
        <w:ind w:firstLine="420"/>
        <w:rPr>
          <w:bCs/>
          <w:color w:val="000000"/>
          <w:sz w:val="21"/>
          <w:szCs w:val="21"/>
        </w:rPr>
      </w:pPr>
      <w:r>
        <w:rPr>
          <w:rFonts w:hint="eastAsia"/>
          <w:bCs/>
          <w:color w:val="000000"/>
          <w:sz w:val="21"/>
          <w:szCs w:val="21"/>
        </w:rPr>
        <w:t>1氨、甲醛、苯、总挥发性有机物、氢等污染物浓度低于现行国家标准《室内空气质量标准》GB/T18883规定限值的10%，得3分；低于20%，得6分；</w:t>
      </w:r>
    </w:p>
    <w:p>
      <w:pPr>
        <w:pStyle w:val="59"/>
        <w:spacing w:line="360" w:lineRule="exact"/>
        <w:ind w:firstLine="420"/>
        <w:rPr>
          <w:bCs/>
          <w:color w:val="000000"/>
          <w:sz w:val="21"/>
          <w:szCs w:val="21"/>
        </w:rPr>
      </w:pPr>
      <w:r>
        <w:rPr>
          <w:rFonts w:hint="eastAsia"/>
          <w:bCs/>
          <w:color w:val="000000"/>
          <w:sz w:val="21"/>
          <w:szCs w:val="21"/>
        </w:rPr>
        <w:t>2</w:t>
      </w:r>
      <w:r>
        <w:rPr>
          <w:bCs/>
          <w:color w:val="000000"/>
          <w:sz w:val="21"/>
          <w:szCs w:val="21"/>
        </w:rPr>
        <w:t xml:space="preserve"> </w:t>
      </w:r>
      <w:r>
        <w:rPr>
          <w:rFonts w:hint="eastAsia"/>
          <w:bCs/>
          <w:color w:val="000000"/>
          <w:sz w:val="21"/>
          <w:szCs w:val="21"/>
        </w:rPr>
        <w:t>室内PM2.5年均浓度不高于25ug/m</w:t>
      </w:r>
      <w:r>
        <w:rPr>
          <w:rFonts w:hint="eastAsia"/>
          <w:bCs/>
          <w:color w:val="000000"/>
          <w:sz w:val="21"/>
          <w:szCs w:val="21"/>
          <w:vertAlign w:val="superscript"/>
        </w:rPr>
        <w:t>3</w:t>
      </w:r>
      <w:r>
        <w:rPr>
          <w:rFonts w:hint="eastAsia"/>
          <w:bCs/>
          <w:color w:val="000000"/>
          <w:sz w:val="21"/>
          <w:szCs w:val="21"/>
        </w:rPr>
        <w:t>，且室内PM10年均浓度不高于50ug/m</w:t>
      </w:r>
      <w:r>
        <w:rPr>
          <w:rFonts w:hint="eastAsia"/>
          <w:bCs/>
          <w:color w:val="000000"/>
          <w:sz w:val="21"/>
          <w:szCs w:val="21"/>
          <w:vertAlign w:val="superscript"/>
        </w:rPr>
        <w:t>3</w:t>
      </w:r>
      <w:r>
        <w:rPr>
          <w:rFonts w:hint="eastAsia"/>
          <w:bCs/>
          <w:color w:val="000000"/>
          <w:sz w:val="21"/>
          <w:szCs w:val="21"/>
        </w:rPr>
        <w:t>，得6分。</w:t>
      </w:r>
    </w:p>
    <w:p>
      <w:pPr>
        <w:adjustRightInd w:val="0"/>
        <w:spacing w:line="360" w:lineRule="atLeast"/>
        <w:outlineLvl w:val="2"/>
        <w:rPr>
          <w:color w:val="000000"/>
          <w:szCs w:val="20"/>
        </w:rPr>
      </w:pPr>
      <w:r>
        <w:rPr>
          <w:rFonts w:hint="eastAsia"/>
          <w:color w:val="000000"/>
          <w:szCs w:val="20"/>
        </w:rPr>
        <w:t>【条文说明】</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8</w:t>
      </w:r>
      <w:r>
        <w:rPr>
          <w:rFonts w:hint="eastAsia"/>
          <w:b/>
          <w:color w:val="000000"/>
          <w:sz w:val="21"/>
          <w:szCs w:val="21"/>
        </w:rPr>
        <w:t xml:space="preserve">  </w:t>
      </w:r>
      <w:r>
        <w:rPr>
          <w:rFonts w:hint="eastAsia" w:eastAsia="仿宋"/>
          <w:color w:val="000000"/>
          <w:sz w:val="21"/>
          <w:szCs w:val="21"/>
        </w:rPr>
        <w:t>本条适用于各类民用建筑全装修的预评价、评价。预评价时，可仅对甲醛、苯、总挥发性有机物进行预评估。</w:t>
      </w:r>
    </w:p>
    <w:p>
      <w:pPr>
        <w:pStyle w:val="59"/>
        <w:spacing w:line="360" w:lineRule="exact"/>
        <w:ind w:firstLine="420"/>
        <w:rPr>
          <w:rFonts w:eastAsia="仿宋"/>
          <w:color w:val="000000"/>
          <w:sz w:val="21"/>
          <w:szCs w:val="21"/>
        </w:rPr>
      </w:pPr>
      <w:r>
        <w:rPr>
          <w:rFonts w:hint="eastAsia" w:eastAsia="仿宋"/>
          <w:color w:val="000000"/>
          <w:sz w:val="21"/>
          <w:szCs w:val="21"/>
        </w:rPr>
        <w:t>第1 款，基于甲醛和苯对人体健康的危害性。为了实现室内污染物控制，项目在设计阶段即需采取相应措施，对室内空气污染物浓度进行预评估，以预测工程建成后存在的危害室内空气质量的因素和程度，在施工前即对材料的使用进行把控和优化，将室内装饰装修污染控制从“后评估+后治理”改为“预评价+预处理”。预评价时，以室内装修设计方案所用的装修材料的使用量及其污染物释放特征（如释放速率）为基础，重点对典型功能房间（卧室、客厅、办公室等）进行污染物浓度预评估，预评估时以现行国家标准《室内空气质量标准》GB/T18883 测试工况（房间密闭12h，空调、新风及净化系统关闭）、完工后1 个月为模拟起点。浓度预评估方法可参考现行行业标准《住宅建筑室内装修污染控制技术标准》JGJ/T 436 和《公共建筑室内空气质量控制设计标准》JGJ/T 461 的相关规定。评价时，应对室内空气质量进行现场检测。</w:t>
      </w:r>
    </w:p>
    <w:p>
      <w:pPr>
        <w:pStyle w:val="59"/>
        <w:spacing w:line="360" w:lineRule="exact"/>
        <w:ind w:firstLine="420"/>
        <w:rPr>
          <w:rFonts w:eastAsia="仿宋"/>
          <w:color w:val="000000"/>
          <w:sz w:val="21"/>
          <w:szCs w:val="21"/>
        </w:rPr>
      </w:pPr>
      <w:r>
        <w:rPr>
          <w:rFonts w:hint="eastAsia" w:eastAsia="仿宋"/>
          <w:color w:val="000000"/>
          <w:sz w:val="21"/>
          <w:szCs w:val="21"/>
        </w:rPr>
        <w:t>第2 款，对颗粒物浓度限值进行了规定。预评价时，全装修项目可通过建筑设计因素（门窗渗透风量、新风量、净化设备效率、室内源等）及室外颗粒物水平（建筑所在地近1 年环境大气监测数据），对建筑内部颗粒物浓度进行估算。预评价的计算方法可参考现行行业标准《公共建筑室内空气质量控制设计标准》</w:t>
      </w:r>
    </w:p>
    <w:p>
      <w:pPr>
        <w:pStyle w:val="59"/>
        <w:spacing w:line="360" w:lineRule="exact"/>
        <w:ind w:firstLine="0" w:firstLineChars="0"/>
        <w:rPr>
          <w:rFonts w:eastAsia="仿宋"/>
          <w:color w:val="000000"/>
          <w:sz w:val="21"/>
          <w:szCs w:val="21"/>
        </w:rPr>
      </w:pPr>
      <w:r>
        <w:rPr>
          <w:rFonts w:hint="eastAsia" w:eastAsia="仿宋"/>
          <w:color w:val="000000"/>
          <w:sz w:val="21"/>
          <w:szCs w:val="21"/>
        </w:rPr>
        <w:t>JGJ/T 461 中室内空气质量设计计算的相关规定。评价时，项目需在建筑内具有颗粒物浓度监测传感设备，至少每小时对建筑内颗粒物浓度进行一次记录，连续监测一年后取算术平均值，并出具报告。对于住宅建筑，应对每种户型主要功能房间进行全年监测；对于公共建筑，应每层选取一个主要功能房间进行全年监测。</w:t>
      </w:r>
    </w:p>
    <w:p>
      <w:pPr>
        <w:pStyle w:val="59"/>
        <w:spacing w:line="360" w:lineRule="exact"/>
        <w:ind w:firstLine="0" w:firstLineChars="0"/>
        <w:rPr>
          <w:rFonts w:eastAsia="仿宋"/>
          <w:color w:val="000000"/>
          <w:sz w:val="21"/>
          <w:szCs w:val="21"/>
        </w:rPr>
      </w:pPr>
      <w:r>
        <w:rPr>
          <w:rFonts w:hint="eastAsia" w:eastAsia="仿宋"/>
          <w:color w:val="000000"/>
          <w:sz w:val="21"/>
          <w:szCs w:val="21"/>
        </w:rPr>
        <w:t>监测仪表及其精度规定符合现行国家标准《室内空气质量标准》GB/T 18883 的规定。评价时，项目尚未投入运行的，由于运行数据欠缺，评价方法参照预评价阶段的评价方法；项目运行未满一年的，需按照评价阶段要求设置传感器并采集数据，分析现有数据的同时对不满一年的部分进行预评估计算。</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建筑材料使用说明（种类、用量）、污染物浓度预评估分析报告；评价查阅相关竣工图、建筑材料使用说明（种类、用量）、污染物浓度预评估分析报告，投入使用的项目尚应查阅室内空气质量现场检测报告、PM</w:t>
      </w:r>
      <w:r>
        <w:rPr>
          <w:rFonts w:hint="eastAsia" w:eastAsia="仿宋"/>
          <w:color w:val="000000"/>
          <w:sz w:val="21"/>
          <w:szCs w:val="21"/>
          <w:vertAlign w:val="subscript"/>
        </w:rPr>
        <w:t>2.5</w:t>
      </w:r>
      <w:r>
        <w:rPr>
          <w:rFonts w:hint="eastAsia" w:eastAsia="仿宋"/>
          <w:color w:val="000000"/>
          <w:sz w:val="21"/>
          <w:szCs w:val="21"/>
        </w:rPr>
        <w:t>和PM</w:t>
      </w:r>
      <w:r>
        <w:rPr>
          <w:rFonts w:hint="eastAsia" w:eastAsia="仿宋"/>
          <w:color w:val="000000"/>
          <w:sz w:val="21"/>
          <w:szCs w:val="21"/>
          <w:vertAlign w:val="subscript"/>
        </w:rPr>
        <w:t>10</w:t>
      </w:r>
      <w:r>
        <w:rPr>
          <w:rFonts w:hint="eastAsia" w:eastAsia="仿宋"/>
          <w:color w:val="000000"/>
          <w:sz w:val="21"/>
          <w:szCs w:val="21"/>
        </w:rPr>
        <w:t>浓度计算报告（附原始监测数据）。</w:t>
      </w:r>
    </w:p>
    <w:p>
      <w:pPr>
        <w:pStyle w:val="59"/>
        <w:spacing w:line="360" w:lineRule="exact"/>
        <w:ind w:firstLine="0" w:firstLineChars="0"/>
        <w:rPr>
          <w:bCs/>
          <w:color w:val="000000"/>
          <w:sz w:val="21"/>
          <w:szCs w:val="21"/>
        </w:rPr>
      </w:pPr>
      <w:r>
        <w:rPr>
          <w:rFonts w:hint="eastAsia"/>
          <w:b/>
          <w:bCs/>
          <w:color w:val="000000"/>
          <w:sz w:val="21"/>
          <w:szCs w:val="21"/>
        </w:rPr>
        <w:t xml:space="preserve">4.2.9  </w:t>
      </w:r>
      <w:r>
        <w:rPr>
          <w:rFonts w:hint="eastAsia"/>
          <w:bCs/>
          <w:color w:val="000000"/>
          <w:sz w:val="21"/>
          <w:szCs w:val="21"/>
        </w:rPr>
        <w:t>合理选用污染散发强度小、衰减速率快和影响周期短的室内装饰装修材料，评价总分值为3分，并按下列规则分别评分并累计：</w:t>
      </w:r>
    </w:p>
    <w:p>
      <w:pPr>
        <w:pStyle w:val="59"/>
        <w:spacing w:line="360" w:lineRule="exact"/>
        <w:ind w:firstLine="420"/>
        <w:rPr>
          <w:bCs/>
          <w:color w:val="000000"/>
          <w:sz w:val="21"/>
          <w:szCs w:val="21"/>
        </w:rPr>
      </w:pPr>
      <w:r>
        <w:rPr>
          <w:bCs/>
          <w:color w:val="000000"/>
          <w:sz w:val="21"/>
          <w:szCs w:val="21"/>
        </w:rPr>
        <w:t>1  </w:t>
      </w:r>
      <w:r>
        <w:rPr>
          <w:rFonts w:hint="eastAsia"/>
          <w:bCs/>
          <w:color w:val="000000"/>
          <w:sz w:val="21"/>
          <w:szCs w:val="21"/>
        </w:rPr>
        <w:t>分析产生室内空气污染的主要污染源材料，得</w:t>
      </w:r>
      <w:r>
        <w:rPr>
          <w:bCs/>
          <w:color w:val="000000"/>
          <w:sz w:val="21"/>
          <w:szCs w:val="21"/>
        </w:rPr>
        <w:t>1</w:t>
      </w:r>
      <w:r>
        <w:rPr>
          <w:rFonts w:hint="eastAsia"/>
          <w:bCs/>
          <w:color w:val="000000"/>
          <w:sz w:val="21"/>
          <w:szCs w:val="21"/>
        </w:rPr>
        <w:t>分；</w:t>
      </w:r>
    </w:p>
    <w:p>
      <w:pPr>
        <w:pStyle w:val="59"/>
        <w:spacing w:line="360" w:lineRule="exact"/>
        <w:ind w:firstLine="420"/>
        <w:rPr>
          <w:bCs/>
          <w:color w:val="000000"/>
          <w:sz w:val="21"/>
          <w:szCs w:val="21"/>
        </w:rPr>
      </w:pPr>
      <w:r>
        <w:rPr>
          <w:bCs/>
          <w:color w:val="000000"/>
          <w:sz w:val="21"/>
          <w:szCs w:val="21"/>
        </w:rPr>
        <w:t>2  </w:t>
      </w:r>
      <w:r>
        <w:rPr>
          <w:rFonts w:hint="eastAsia"/>
          <w:bCs/>
          <w:color w:val="000000"/>
          <w:sz w:val="21"/>
          <w:szCs w:val="21"/>
        </w:rPr>
        <w:t>提供各主要污染源材料和家具的污染释放特性参数，得</w:t>
      </w:r>
      <w:r>
        <w:rPr>
          <w:bCs/>
          <w:color w:val="000000"/>
          <w:sz w:val="21"/>
          <w:szCs w:val="21"/>
        </w:rPr>
        <w:t>1</w:t>
      </w:r>
      <w:r>
        <w:rPr>
          <w:rFonts w:hint="eastAsia"/>
          <w:bCs/>
          <w:color w:val="000000"/>
          <w:sz w:val="21"/>
          <w:szCs w:val="21"/>
        </w:rPr>
        <w:t>分；</w:t>
      </w:r>
    </w:p>
    <w:p>
      <w:pPr>
        <w:pStyle w:val="59"/>
        <w:spacing w:line="360" w:lineRule="exact"/>
        <w:ind w:firstLine="420" w:firstLineChars="0"/>
        <w:rPr>
          <w:bCs/>
          <w:color w:val="000000"/>
          <w:sz w:val="21"/>
          <w:szCs w:val="21"/>
        </w:rPr>
      </w:pPr>
      <w:r>
        <w:rPr>
          <w:bCs/>
          <w:color w:val="000000"/>
          <w:sz w:val="21"/>
          <w:szCs w:val="21"/>
        </w:rPr>
        <w:t>3  </w:t>
      </w:r>
      <w:r>
        <w:rPr>
          <w:rFonts w:hint="eastAsia"/>
          <w:bCs/>
          <w:color w:val="000000"/>
          <w:sz w:val="21"/>
          <w:szCs w:val="21"/>
        </w:rPr>
        <w:t>预测分析和确定室内装饰装修材料和家具的甲醛和</w:t>
      </w:r>
      <w:r>
        <w:rPr>
          <w:bCs/>
          <w:color w:val="000000"/>
          <w:sz w:val="21"/>
          <w:szCs w:val="21"/>
        </w:rPr>
        <w:t>TVOC</w:t>
      </w:r>
      <w:r>
        <w:rPr>
          <w:rFonts w:hint="eastAsia"/>
          <w:bCs/>
          <w:color w:val="000000"/>
          <w:sz w:val="21"/>
          <w:szCs w:val="21"/>
        </w:rPr>
        <w:t>的污染综合释放率，得</w:t>
      </w:r>
      <w:r>
        <w:rPr>
          <w:bCs/>
          <w:color w:val="000000"/>
          <w:sz w:val="21"/>
          <w:szCs w:val="21"/>
        </w:rPr>
        <w:t>1</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 xml:space="preserve">4.2.9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本条的评价方法为：预评价提供吊顶、墙面和地面所有材料污染评估报告；评价与预评价方法一致。</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10</w:t>
      </w:r>
      <w:r>
        <w:rPr>
          <w:rFonts w:hint="eastAsia"/>
          <w:b/>
          <w:bCs/>
          <w:color w:val="000000"/>
          <w:sz w:val="21"/>
          <w:szCs w:val="21"/>
        </w:rPr>
        <w:t xml:space="preserve"> </w:t>
      </w:r>
      <w:r>
        <w:rPr>
          <w:rFonts w:hint="eastAsia"/>
          <w:bCs/>
          <w:color w:val="000000"/>
          <w:sz w:val="21"/>
          <w:szCs w:val="21"/>
        </w:rPr>
        <w:t>设置</w:t>
      </w:r>
      <w:r>
        <w:rPr>
          <w:bCs/>
          <w:color w:val="000000"/>
          <w:sz w:val="21"/>
          <w:szCs w:val="21"/>
        </w:rPr>
        <w:t>空气净化装置降低室内污染物浓度，评价总分为</w:t>
      </w:r>
      <w:r>
        <w:rPr>
          <w:rFonts w:hint="eastAsia"/>
          <w:bCs/>
          <w:color w:val="000000"/>
          <w:sz w:val="21"/>
          <w:szCs w:val="21"/>
        </w:rPr>
        <w:t>10分</w:t>
      </w:r>
      <w:r>
        <w:rPr>
          <w:bCs/>
          <w:color w:val="000000"/>
          <w:sz w:val="21"/>
          <w:szCs w:val="21"/>
        </w:rPr>
        <w:t>：设置独立的空气</w:t>
      </w:r>
      <w:r>
        <w:rPr>
          <w:rFonts w:hint="eastAsia"/>
          <w:bCs/>
          <w:color w:val="000000"/>
          <w:sz w:val="21"/>
          <w:szCs w:val="21"/>
        </w:rPr>
        <w:t>净化</w:t>
      </w:r>
      <w:r>
        <w:rPr>
          <w:bCs/>
          <w:color w:val="000000"/>
          <w:sz w:val="21"/>
          <w:szCs w:val="21"/>
        </w:rPr>
        <w:t>装置，得</w:t>
      </w:r>
      <w:r>
        <w:rPr>
          <w:rFonts w:hint="eastAsia"/>
          <w:bCs/>
          <w:color w:val="000000"/>
          <w:sz w:val="21"/>
          <w:szCs w:val="21"/>
        </w:rPr>
        <w:t>6分</w:t>
      </w:r>
      <w:r>
        <w:rPr>
          <w:bCs/>
          <w:color w:val="000000"/>
          <w:sz w:val="21"/>
          <w:szCs w:val="21"/>
        </w:rPr>
        <w:t>；设置具</w:t>
      </w:r>
      <w:r>
        <w:rPr>
          <w:rFonts w:hint="eastAsia"/>
          <w:bCs/>
          <w:color w:val="000000"/>
          <w:sz w:val="21"/>
          <w:szCs w:val="21"/>
        </w:rPr>
        <w:t>有</w:t>
      </w:r>
      <w:r>
        <w:rPr>
          <w:bCs/>
          <w:color w:val="000000"/>
          <w:sz w:val="21"/>
          <w:szCs w:val="21"/>
        </w:rPr>
        <w:t>空气净化功能的新风系统，得</w:t>
      </w:r>
      <w:r>
        <w:rPr>
          <w:rFonts w:hint="eastAsia"/>
          <w:bCs/>
          <w:color w:val="000000"/>
          <w:sz w:val="21"/>
          <w:szCs w:val="21"/>
        </w:rPr>
        <w:t>10分</w:t>
      </w:r>
      <w:r>
        <w:rPr>
          <w:bCs/>
          <w:color w:val="000000"/>
          <w:sz w:val="21"/>
          <w:szCs w:val="21"/>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10</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本条的评价方法为：预评价查阅相关设计文件；评价查阅相关设计文件</w:t>
      </w:r>
      <w:r>
        <w:rPr>
          <w:rFonts w:eastAsia="仿宋"/>
          <w:color w:val="000000"/>
          <w:sz w:val="21"/>
          <w:szCs w:val="21"/>
        </w:rPr>
        <w:t>，并现场核实</w:t>
      </w:r>
      <w:r>
        <w:rPr>
          <w:rFonts w:hint="eastAsia" w:eastAsia="仿宋"/>
          <w:color w:val="000000"/>
          <w:sz w:val="21"/>
          <w:szCs w:val="21"/>
        </w:rPr>
        <w:t>。</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11</w:t>
      </w:r>
      <w:r>
        <w:rPr>
          <w:rFonts w:hint="eastAsia"/>
          <w:b/>
          <w:bCs/>
          <w:color w:val="000000"/>
          <w:sz w:val="21"/>
          <w:szCs w:val="21"/>
        </w:rPr>
        <w:t xml:space="preserve">  </w:t>
      </w:r>
      <w:r>
        <w:rPr>
          <w:rFonts w:hint="eastAsia"/>
          <w:bCs/>
          <w:color w:val="000000"/>
          <w:sz w:val="21"/>
          <w:szCs w:val="21"/>
        </w:rPr>
        <w:t>采用水质</w:t>
      </w:r>
      <w:r>
        <w:rPr>
          <w:bCs/>
          <w:color w:val="000000"/>
          <w:sz w:val="21"/>
          <w:szCs w:val="21"/>
        </w:rPr>
        <w:t>净化系统，分质供水，提升用水品质。评价</w:t>
      </w:r>
      <w:r>
        <w:rPr>
          <w:rFonts w:hint="eastAsia"/>
          <w:bCs/>
          <w:color w:val="000000"/>
          <w:sz w:val="21"/>
          <w:szCs w:val="21"/>
        </w:rPr>
        <w:t>总分</w:t>
      </w:r>
      <w:r>
        <w:rPr>
          <w:bCs/>
          <w:color w:val="000000"/>
          <w:sz w:val="21"/>
          <w:szCs w:val="21"/>
        </w:rPr>
        <w:t>值为</w:t>
      </w:r>
      <w:r>
        <w:rPr>
          <w:rFonts w:hint="eastAsia"/>
          <w:bCs/>
          <w:color w:val="000000"/>
          <w:sz w:val="21"/>
          <w:szCs w:val="21"/>
        </w:rPr>
        <w:t>10分</w:t>
      </w:r>
      <w:r>
        <w:rPr>
          <w:bCs/>
          <w:color w:val="000000"/>
          <w:sz w:val="21"/>
          <w:szCs w:val="21"/>
        </w:rPr>
        <w:t>，按下列规则分别评分并累计：</w:t>
      </w:r>
    </w:p>
    <w:p>
      <w:pPr>
        <w:pStyle w:val="59"/>
        <w:spacing w:line="360" w:lineRule="exact"/>
        <w:ind w:firstLine="420"/>
        <w:rPr>
          <w:bCs/>
          <w:color w:val="000000"/>
          <w:sz w:val="21"/>
          <w:szCs w:val="21"/>
        </w:rPr>
      </w:pPr>
      <w:r>
        <w:rPr>
          <w:bCs/>
          <w:color w:val="000000"/>
          <w:sz w:val="21"/>
          <w:szCs w:val="21"/>
        </w:rPr>
        <w:t>1.</w:t>
      </w:r>
      <w:r>
        <w:rPr>
          <w:rFonts w:hint="eastAsia"/>
          <w:bCs/>
          <w:color w:val="000000"/>
          <w:sz w:val="21"/>
          <w:szCs w:val="21"/>
        </w:rPr>
        <w:t>采用</w:t>
      </w:r>
      <w:r>
        <w:rPr>
          <w:bCs/>
          <w:color w:val="000000"/>
          <w:sz w:val="21"/>
          <w:szCs w:val="21"/>
        </w:rPr>
        <w:t>直饮水系统，</w:t>
      </w:r>
      <w:r>
        <w:rPr>
          <w:rFonts w:hint="eastAsia"/>
          <w:bCs/>
          <w:color w:val="000000"/>
          <w:sz w:val="21"/>
          <w:szCs w:val="21"/>
        </w:rPr>
        <w:t>终端水质满足现行国家标准《饮用净水水质标准》CJ 94的规定要求，</w:t>
      </w:r>
      <w:r>
        <w:rPr>
          <w:bCs/>
          <w:color w:val="000000"/>
          <w:sz w:val="21"/>
          <w:szCs w:val="21"/>
        </w:rPr>
        <w:t>得</w:t>
      </w:r>
      <w:r>
        <w:rPr>
          <w:rFonts w:hint="eastAsia"/>
          <w:bCs/>
          <w:color w:val="000000"/>
          <w:sz w:val="21"/>
          <w:szCs w:val="21"/>
        </w:rPr>
        <w:t>3分</w:t>
      </w:r>
      <w:r>
        <w:rPr>
          <w:bCs/>
          <w:color w:val="000000"/>
          <w:sz w:val="21"/>
          <w:szCs w:val="21"/>
        </w:rPr>
        <w:t>；</w:t>
      </w:r>
    </w:p>
    <w:p>
      <w:pPr>
        <w:pStyle w:val="59"/>
        <w:spacing w:line="360" w:lineRule="exact"/>
        <w:ind w:firstLine="420"/>
        <w:rPr>
          <w:bCs/>
          <w:color w:val="000000"/>
          <w:sz w:val="21"/>
          <w:szCs w:val="21"/>
        </w:rPr>
      </w:pPr>
      <w:r>
        <w:rPr>
          <w:bCs/>
          <w:color w:val="000000"/>
          <w:sz w:val="21"/>
          <w:szCs w:val="21"/>
        </w:rPr>
        <w:t>2.</w:t>
      </w:r>
      <w:r>
        <w:rPr>
          <w:rFonts w:hint="eastAsia"/>
          <w:bCs/>
          <w:color w:val="000000"/>
          <w:sz w:val="21"/>
          <w:szCs w:val="21"/>
        </w:rPr>
        <w:t>采用</w:t>
      </w:r>
      <w:r>
        <w:rPr>
          <w:bCs/>
          <w:color w:val="000000"/>
          <w:sz w:val="21"/>
          <w:szCs w:val="21"/>
        </w:rPr>
        <w:t>软化水系统，出水总硬度以</w:t>
      </w:r>
      <w:r>
        <w:rPr>
          <w:rFonts w:hint="eastAsia"/>
          <w:bCs/>
          <w:color w:val="000000"/>
          <w:sz w:val="21"/>
          <w:szCs w:val="21"/>
        </w:rPr>
        <w:t>C</w:t>
      </w:r>
      <w:r>
        <w:rPr>
          <w:bCs/>
          <w:color w:val="000000"/>
          <w:sz w:val="21"/>
          <w:szCs w:val="21"/>
        </w:rPr>
        <w:t>aCO3</w:t>
      </w:r>
      <w:r>
        <w:rPr>
          <w:rFonts w:hint="eastAsia"/>
          <w:bCs/>
          <w:color w:val="000000"/>
          <w:sz w:val="21"/>
          <w:szCs w:val="21"/>
        </w:rPr>
        <w:t>计</w:t>
      </w:r>
      <w:r>
        <w:rPr>
          <w:bCs/>
          <w:color w:val="000000"/>
          <w:sz w:val="21"/>
          <w:szCs w:val="21"/>
        </w:rPr>
        <w:t>（</w:t>
      </w:r>
      <w:r>
        <w:rPr>
          <w:rFonts w:hint="eastAsia"/>
          <w:bCs/>
          <w:color w:val="000000"/>
          <w:sz w:val="21"/>
          <w:szCs w:val="21"/>
        </w:rPr>
        <w:t>TH</w:t>
      </w:r>
      <w:r>
        <w:rPr>
          <w:bCs/>
          <w:color w:val="000000"/>
          <w:sz w:val="21"/>
          <w:szCs w:val="21"/>
        </w:rPr>
        <w:t>）</w:t>
      </w:r>
      <w:r>
        <w:rPr>
          <w:rFonts w:hint="eastAsia"/>
          <w:bCs/>
          <w:color w:val="000000"/>
          <w:sz w:val="21"/>
          <w:szCs w:val="21"/>
        </w:rPr>
        <w:t>。</w:t>
      </w:r>
      <w:r>
        <w:rPr>
          <w:bCs/>
          <w:color w:val="000000"/>
          <w:sz w:val="21"/>
          <w:szCs w:val="21"/>
        </w:rPr>
        <w:t>当</w:t>
      </w:r>
      <w:r>
        <w:rPr>
          <w:rFonts w:hint="eastAsia"/>
          <w:bCs/>
          <w:color w:val="000000"/>
          <w:sz w:val="21"/>
          <w:szCs w:val="21"/>
        </w:rPr>
        <w:t>150</w:t>
      </w:r>
      <w:r>
        <w:rPr>
          <w:bCs/>
          <w:color w:val="000000"/>
          <w:sz w:val="21"/>
          <w:szCs w:val="21"/>
        </w:rPr>
        <w:t>mg/L≤TH≤300</w:t>
      </w:r>
      <w:r>
        <w:rPr>
          <w:color w:val="000000"/>
        </w:rPr>
        <w:t xml:space="preserve"> </w:t>
      </w:r>
      <w:r>
        <w:rPr>
          <w:bCs/>
          <w:color w:val="000000"/>
          <w:sz w:val="21"/>
          <w:szCs w:val="21"/>
        </w:rPr>
        <w:t>mg/L</w:t>
      </w:r>
      <w:r>
        <w:rPr>
          <w:rFonts w:hint="eastAsia"/>
          <w:bCs/>
          <w:color w:val="000000"/>
          <w:sz w:val="21"/>
          <w:szCs w:val="21"/>
        </w:rPr>
        <w:t>时</w:t>
      </w:r>
      <w:r>
        <w:rPr>
          <w:bCs/>
          <w:color w:val="000000"/>
          <w:sz w:val="21"/>
          <w:szCs w:val="21"/>
        </w:rPr>
        <w:t>，得</w:t>
      </w:r>
      <w:r>
        <w:rPr>
          <w:rFonts w:hint="eastAsia"/>
          <w:bCs/>
          <w:color w:val="000000"/>
          <w:sz w:val="21"/>
          <w:szCs w:val="21"/>
        </w:rPr>
        <w:t>3分</w:t>
      </w:r>
      <w:r>
        <w:rPr>
          <w:bCs/>
          <w:color w:val="000000"/>
          <w:sz w:val="21"/>
          <w:szCs w:val="21"/>
        </w:rPr>
        <w:t>；当</w:t>
      </w:r>
      <w:r>
        <w:rPr>
          <w:rFonts w:hint="eastAsia"/>
          <w:bCs/>
          <w:color w:val="000000"/>
          <w:sz w:val="21"/>
          <w:szCs w:val="21"/>
        </w:rPr>
        <w:t>75</w:t>
      </w:r>
      <w:r>
        <w:rPr>
          <w:bCs/>
          <w:color w:val="000000"/>
          <w:sz w:val="21"/>
          <w:szCs w:val="21"/>
        </w:rPr>
        <w:t>mg/L</w:t>
      </w:r>
      <w:r>
        <w:rPr>
          <w:rFonts w:hint="eastAsia"/>
          <w:bCs/>
          <w:color w:val="000000"/>
          <w:sz w:val="21"/>
          <w:szCs w:val="21"/>
        </w:rPr>
        <w:t>＜</w:t>
      </w:r>
      <w:r>
        <w:rPr>
          <w:bCs/>
          <w:color w:val="000000"/>
          <w:sz w:val="21"/>
          <w:szCs w:val="21"/>
        </w:rPr>
        <w:t>TH≤150</w:t>
      </w:r>
      <w:r>
        <w:rPr>
          <w:color w:val="000000"/>
        </w:rPr>
        <w:t xml:space="preserve"> </w:t>
      </w:r>
      <w:r>
        <w:rPr>
          <w:bCs/>
          <w:color w:val="000000"/>
          <w:sz w:val="21"/>
          <w:szCs w:val="21"/>
        </w:rPr>
        <w:t>mg/L</w:t>
      </w:r>
      <w:r>
        <w:rPr>
          <w:rFonts w:hint="eastAsia"/>
          <w:bCs/>
          <w:color w:val="000000"/>
          <w:sz w:val="21"/>
          <w:szCs w:val="21"/>
        </w:rPr>
        <w:t>时</w:t>
      </w:r>
      <w:r>
        <w:rPr>
          <w:bCs/>
          <w:color w:val="000000"/>
          <w:sz w:val="21"/>
          <w:szCs w:val="21"/>
        </w:rPr>
        <w:t>，得</w:t>
      </w:r>
      <w:r>
        <w:rPr>
          <w:rFonts w:hint="eastAsia"/>
          <w:bCs/>
          <w:color w:val="000000"/>
          <w:sz w:val="21"/>
          <w:szCs w:val="21"/>
        </w:rPr>
        <w:t>5分</w:t>
      </w:r>
      <w:r>
        <w:rPr>
          <w:bCs/>
          <w:color w:val="000000"/>
          <w:sz w:val="21"/>
          <w:szCs w:val="21"/>
        </w:rPr>
        <w:t>；</w:t>
      </w:r>
    </w:p>
    <w:p>
      <w:pPr>
        <w:pStyle w:val="59"/>
        <w:spacing w:line="360" w:lineRule="exact"/>
        <w:ind w:firstLine="420"/>
        <w:rPr>
          <w:bCs/>
          <w:color w:val="000000"/>
          <w:sz w:val="21"/>
          <w:szCs w:val="21"/>
        </w:rPr>
      </w:pPr>
      <w:r>
        <w:rPr>
          <w:rFonts w:hint="eastAsia"/>
          <w:bCs/>
          <w:color w:val="000000"/>
          <w:sz w:val="21"/>
          <w:szCs w:val="21"/>
        </w:rPr>
        <w:t>3.生活</w:t>
      </w:r>
      <w:r>
        <w:rPr>
          <w:bCs/>
          <w:color w:val="000000"/>
          <w:sz w:val="21"/>
          <w:szCs w:val="21"/>
        </w:rPr>
        <w:t>用水管道采用不锈钢管、</w:t>
      </w:r>
      <w:r>
        <w:rPr>
          <w:rFonts w:hint="eastAsia"/>
          <w:bCs/>
          <w:color w:val="000000"/>
          <w:sz w:val="21"/>
          <w:szCs w:val="21"/>
        </w:rPr>
        <w:t>铜</w:t>
      </w:r>
      <w:r>
        <w:rPr>
          <w:bCs/>
          <w:color w:val="000000"/>
          <w:sz w:val="21"/>
          <w:szCs w:val="21"/>
        </w:rPr>
        <w:t>管，得</w:t>
      </w:r>
      <w:r>
        <w:rPr>
          <w:rFonts w:hint="eastAsia"/>
          <w:bCs/>
          <w:color w:val="000000"/>
          <w:sz w:val="21"/>
          <w:szCs w:val="21"/>
        </w:rPr>
        <w:t>2分</w:t>
      </w:r>
      <w:r>
        <w:rPr>
          <w:bCs/>
          <w:color w:val="000000"/>
          <w:sz w:val="21"/>
          <w:szCs w:val="21"/>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color w:val="000000"/>
          <w:sz w:val="21"/>
          <w:szCs w:val="21"/>
        </w:rPr>
        <w:t>4.2.</w:t>
      </w:r>
      <w:r>
        <w:rPr>
          <w:b/>
          <w:color w:val="000000"/>
          <w:sz w:val="21"/>
          <w:szCs w:val="21"/>
        </w:rPr>
        <w:t>11</w:t>
      </w:r>
      <w:r>
        <w:rPr>
          <w:rFonts w:hint="eastAsia"/>
          <w:b/>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为确保管道直饮水的供水水质水量和水压.并使系统卫生安</w:t>
      </w:r>
    </w:p>
    <w:p>
      <w:pPr>
        <w:pStyle w:val="59"/>
        <w:spacing w:line="360" w:lineRule="exact"/>
        <w:ind w:firstLine="0" w:firstLineChars="0"/>
        <w:rPr>
          <w:rFonts w:eastAsia="仿宋"/>
          <w:color w:val="000000"/>
          <w:sz w:val="21"/>
          <w:szCs w:val="21"/>
        </w:rPr>
      </w:pPr>
      <w:r>
        <w:rPr>
          <w:rFonts w:hint="eastAsia" w:eastAsia="仿宋"/>
          <w:color w:val="000000"/>
          <w:sz w:val="21"/>
          <w:szCs w:val="21"/>
        </w:rPr>
        <w:t>全、技术先进经济合理,管道直饮水系统的设计、材料采购施工、竣工验收、运营管理应参照《管道直饮水系统技术规程)CJ] 110中12分的相关规定执行，管道直饮水终 端水质满足《饮用净水水质标准》CJ 94的规定要求。</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本条的评价方法为：预评价查阅相关设计文件；评价查阅相关设计文件，并现场核实。</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12</w:t>
      </w:r>
      <w:r>
        <w:rPr>
          <w:rFonts w:hint="eastAsia"/>
          <w:b/>
          <w:bCs/>
          <w:color w:val="000000"/>
          <w:sz w:val="21"/>
          <w:szCs w:val="21"/>
        </w:rPr>
        <w:t xml:space="preserve">  </w:t>
      </w:r>
      <w:r>
        <w:rPr>
          <w:rFonts w:hint="eastAsia"/>
          <w:bCs/>
          <w:color w:val="000000"/>
          <w:sz w:val="21"/>
          <w:szCs w:val="21"/>
        </w:rPr>
        <w:t>所有</w:t>
      </w:r>
      <w:r>
        <w:rPr>
          <w:bCs/>
          <w:color w:val="000000"/>
          <w:sz w:val="21"/>
          <w:szCs w:val="21"/>
        </w:rPr>
        <w:t>给排水管道</w:t>
      </w:r>
      <w:r>
        <w:rPr>
          <w:rFonts w:hint="eastAsia"/>
          <w:bCs/>
          <w:color w:val="000000"/>
          <w:sz w:val="21"/>
          <w:szCs w:val="21"/>
        </w:rPr>
        <w:t>、</w:t>
      </w:r>
      <w:r>
        <w:rPr>
          <w:bCs/>
          <w:color w:val="000000"/>
          <w:sz w:val="21"/>
          <w:szCs w:val="21"/>
        </w:rPr>
        <w:t>设备</w:t>
      </w:r>
      <w:r>
        <w:rPr>
          <w:rFonts w:hint="eastAsia"/>
          <w:bCs/>
          <w:color w:val="000000"/>
          <w:sz w:val="21"/>
          <w:szCs w:val="21"/>
        </w:rPr>
        <w:t>、</w:t>
      </w:r>
      <w:r>
        <w:rPr>
          <w:bCs/>
          <w:color w:val="000000"/>
          <w:sz w:val="21"/>
          <w:szCs w:val="21"/>
        </w:rPr>
        <w:t>设施设置明确、清晰的永久性标识，评价总分值为8分</w:t>
      </w:r>
      <w:r>
        <w:rPr>
          <w:rFonts w:hint="eastAsia"/>
          <w:bCs/>
          <w:color w:val="000000"/>
          <w:sz w:val="21"/>
          <w:szCs w:val="21"/>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12</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现代化的建筑给排水管线繁多，如果没有清晰的标识，难免在施工或日常维护、维修时发生误接的情况，造成误饮误用，给用户带来健康隐患。因此对各类给排水管道和设备应设置明确、清晰的标识。</w:t>
      </w:r>
    </w:p>
    <w:p>
      <w:pPr>
        <w:pStyle w:val="59"/>
        <w:spacing w:line="360" w:lineRule="exact"/>
        <w:ind w:firstLine="420"/>
        <w:rPr>
          <w:rFonts w:eastAsia="仿宋"/>
          <w:color w:val="000000"/>
          <w:sz w:val="21"/>
          <w:szCs w:val="21"/>
        </w:rPr>
      </w:pPr>
      <w:r>
        <w:rPr>
          <w:rFonts w:hint="eastAsia" w:eastAsia="仿宋"/>
          <w:color w:val="000000"/>
          <w:sz w:val="21"/>
          <w:szCs w:val="21"/>
        </w:rPr>
        <w:t>目前建筑行业有关部门仅对管道标记的颜色进行了规定，尚未制定统一的民用建筑管道标识标准图集。建筑内给排水管道及设备的标识设置可参考现行国家标准《工业管道的基本识别色、识别符号和安全标识》GB 7231、《建筑给水排水及采暖工程施工质量验收规范》GB 50242 中的相关要求，如：在管道上设色环标识，二个标识之间的最小距离不应大于10m，所有管道的起点、终点、交叉点、转弯处、阀门和穿墙孔两侧等的管道上和其他需要标识的部位均应设置标识，标识由系统名称、流向组成等，设置的标识字体、大小、颜色应方便辨识，且应为永久性的标识，避免标识随时间褪色、剥落、损坏。</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本条的评价方法为：预评价查阅相关设计文件、标识设置说明；评价查阅相关竣工图、标识设置说明，必要时现场核查。</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13</w:t>
      </w:r>
      <w:r>
        <w:rPr>
          <w:rFonts w:hint="eastAsia"/>
          <w:b/>
          <w:bCs/>
          <w:color w:val="000000"/>
          <w:sz w:val="21"/>
          <w:szCs w:val="21"/>
        </w:rPr>
        <w:t xml:space="preserve">  </w:t>
      </w:r>
      <w:r>
        <w:rPr>
          <w:bCs/>
          <w:color w:val="000000"/>
          <w:sz w:val="21"/>
          <w:szCs w:val="21"/>
        </w:rPr>
        <w:t>采取措施优化主要功能房间的室内声环境，评价总分值为8分，并按下列规则分别评分：</w:t>
      </w:r>
    </w:p>
    <w:p>
      <w:pPr>
        <w:pStyle w:val="59"/>
        <w:spacing w:line="360" w:lineRule="exact"/>
        <w:ind w:firstLine="420" w:firstLineChars="0"/>
        <w:rPr>
          <w:bCs/>
          <w:color w:val="000000"/>
          <w:sz w:val="21"/>
          <w:szCs w:val="21"/>
        </w:rPr>
      </w:pPr>
      <w:r>
        <w:rPr>
          <w:bCs/>
          <w:color w:val="000000"/>
          <w:sz w:val="21"/>
          <w:szCs w:val="21"/>
        </w:rPr>
        <w:t>1噪声级达到现行国家标准《民用建筑隔声设计规范》GB50118中的低限标准限值和高要求标准限值的平均值，得4分；</w:t>
      </w:r>
    </w:p>
    <w:p>
      <w:pPr>
        <w:pStyle w:val="59"/>
        <w:spacing w:line="360" w:lineRule="exact"/>
        <w:ind w:firstLine="420" w:firstLineChars="0"/>
        <w:rPr>
          <w:bCs/>
          <w:color w:val="000000"/>
          <w:sz w:val="21"/>
          <w:szCs w:val="21"/>
        </w:rPr>
      </w:pPr>
      <w:r>
        <w:rPr>
          <w:bCs/>
          <w:color w:val="000000"/>
          <w:sz w:val="21"/>
          <w:szCs w:val="21"/>
        </w:rPr>
        <w:t>2噪声级达到现行国家标准《民用建筑隔声设计规范》GB50118中的高要求标准限值，得8分。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13</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现行国家标准《民用建筑隔声设计规范》GB50118 规定了建筑主要功能房间的室内允许噪声级。应采取减少噪声干扰的措施进一步优化主要功能房间的室内声环境。相关措施包括建筑平面、空间布局合理，没有明显的噪声干扰；设备层、机房采取合理的隔振和降噪措施；采用同层排水或其他降低排水噪声的有效措施等。</w:t>
      </w:r>
    </w:p>
    <w:p>
      <w:pPr>
        <w:pStyle w:val="59"/>
        <w:spacing w:line="360" w:lineRule="exact"/>
        <w:ind w:firstLine="420"/>
        <w:rPr>
          <w:rFonts w:eastAsia="仿宋"/>
          <w:color w:val="000000"/>
          <w:sz w:val="21"/>
          <w:szCs w:val="21"/>
        </w:rPr>
      </w:pPr>
      <w:r>
        <w:rPr>
          <w:rFonts w:hint="eastAsia" w:eastAsia="仿宋"/>
          <w:color w:val="000000"/>
          <w:sz w:val="21"/>
          <w:szCs w:val="21"/>
        </w:rPr>
        <w:t>国家标准《民用建筑隔声设计规范》GB50118-2010 将住宅、办公、商业、医院等建筑主要功能房间的室内允许噪声级分“低限标准”和“高要求标准”两档列出。对于现行国家标准《民用建筑隔声设计规范》GB50118 一些只有唯一室内噪声级要求的建筑（如学校），本条认定该室内噪声级对应数值为低限标准，而高要求标准则在此基础上降低5dB（A）。需要指出，对于不同星级的旅馆建筑，其对应的要求不同，需要一一对应。</w:t>
      </w:r>
    </w:p>
    <w:p>
      <w:pPr>
        <w:pStyle w:val="59"/>
        <w:spacing w:line="360" w:lineRule="exact"/>
        <w:ind w:firstLine="420"/>
        <w:rPr>
          <w:rFonts w:eastAsia="仿宋"/>
          <w:color w:val="000000"/>
          <w:sz w:val="21"/>
          <w:szCs w:val="21"/>
        </w:rPr>
      </w:pPr>
      <w:r>
        <w:rPr>
          <w:rFonts w:hint="eastAsia" w:eastAsia="仿宋"/>
          <w:color w:val="000000"/>
          <w:sz w:val="21"/>
          <w:szCs w:val="21"/>
        </w:rPr>
        <w:t>只有所有参评房间的噪声级限值均满足某一级别要求，才能得到该级别对应的分数，否则得分为低一级别分数或不得分。</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本条的评价方法为：预评价查阅相关设计文件、噪声分析报告；评价查阅噪声分析报告、室内噪声级检测报告，必要时现场核查。</w:t>
      </w:r>
    </w:p>
    <w:p>
      <w:pPr>
        <w:pStyle w:val="59"/>
        <w:spacing w:line="360" w:lineRule="exact"/>
        <w:ind w:firstLine="0" w:firstLineChars="0"/>
        <w:rPr>
          <w:bCs/>
          <w:color w:val="000000"/>
          <w:sz w:val="21"/>
          <w:szCs w:val="21"/>
        </w:rPr>
      </w:pPr>
      <w:r>
        <w:rPr>
          <w:rFonts w:hint="eastAsia"/>
          <w:b/>
          <w:bCs/>
          <w:color w:val="000000"/>
          <w:sz w:val="21"/>
          <w:szCs w:val="21"/>
        </w:rPr>
        <w:t>4</w:t>
      </w:r>
      <w:r>
        <w:rPr>
          <w:b/>
          <w:bCs/>
          <w:color w:val="000000"/>
          <w:sz w:val="21"/>
          <w:szCs w:val="21"/>
        </w:rPr>
        <w:t>.2.14</w:t>
      </w:r>
      <w:r>
        <w:rPr>
          <w:rFonts w:hint="eastAsia"/>
          <w:b/>
          <w:bCs/>
          <w:color w:val="000000"/>
          <w:sz w:val="21"/>
          <w:szCs w:val="21"/>
        </w:rPr>
        <w:t xml:space="preserve">  </w:t>
      </w:r>
      <w:r>
        <w:rPr>
          <w:rFonts w:hint="eastAsia"/>
          <w:bCs/>
          <w:color w:val="000000"/>
          <w:sz w:val="21"/>
          <w:szCs w:val="21"/>
        </w:rPr>
        <w:t>采用隔声降噪措施，评价总分值为</w:t>
      </w:r>
      <w:r>
        <w:rPr>
          <w:bCs/>
          <w:color w:val="000000"/>
          <w:sz w:val="21"/>
          <w:szCs w:val="21"/>
        </w:rPr>
        <w:t>10</w:t>
      </w:r>
      <w:r>
        <w:rPr>
          <w:rFonts w:hint="eastAsia"/>
          <w:bCs/>
          <w:color w:val="000000"/>
          <w:sz w:val="21"/>
          <w:szCs w:val="21"/>
        </w:rPr>
        <w:t>分，并按下列规则分别评分并累计：</w:t>
      </w:r>
    </w:p>
    <w:p>
      <w:pPr>
        <w:pStyle w:val="59"/>
        <w:spacing w:line="360" w:lineRule="exact"/>
        <w:ind w:firstLine="420"/>
        <w:rPr>
          <w:bCs/>
          <w:color w:val="000000"/>
          <w:sz w:val="21"/>
          <w:szCs w:val="21"/>
        </w:rPr>
      </w:pPr>
      <w:r>
        <w:rPr>
          <w:bCs/>
          <w:color w:val="000000"/>
          <w:sz w:val="21"/>
          <w:szCs w:val="21"/>
        </w:rPr>
        <w:t>1  </w:t>
      </w:r>
      <w:r>
        <w:rPr>
          <w:rFonts w:hint="eastAsia"/>
          <w:bCs/>
          <w:color w:val="000000"/>
          <w:sz w:val="21"/>
          <w:szCs w:val="21"/>
        </w:rPr>
        <w:t>室内平面布置、空间布局合理，采取改善室内声环境、降低外界对室内声环境影响的有效措施，得</w:t>
      </w:r>
      <w:r>
        <w:rPr>
          <w:bCs/>
          <w:color w:val="000000"/>
          <w:sz w:val="21"/>
          <w:szCs w:val="21"/>
        </w:rPr>
        <w:t>2</w:t>
      </w:r>
      <w:r>
        <w:rPr>
          <w:rFonts w:hint="eastAsia"/>
          <w:bCs/>
          <w:color w:val="000000"/>
          <w:sz w:val="21"/>
          <w:szCs w:val="21"/>
        </w:rPr>
        <w:t>分；</w:t>
      </w:r>
    </w:p>
    <w:p>
      <w:pPr>
        <w:pStyle w:val="59"/>
        <w:spacing w:line="360" w:lineRule="exact"/>
        <w:ind w:firstLine="420"/>
        <w:rPr>
          <w:bCs/>
          <w:color w:val="000000"/>
          <w:sz w:val="21"/>
          <w:szCs w:val="21"/>
        </w:rPr>
      </w:pPr>
      <w:r>
        <w:rPr>
          <w:bCs/>
          <w:color w:val="000000"/>
          <w:sz w:val="21"/>
          <w:szCs w:val="21"/>
        </w:rPr>
        <w:t>2  </w:t>
      </w:r>
      <w:r>
        <w:rPr>
          <w:rFonts w:hint="eastAsia"/>
          <w:bCs/>
          <w:color w:val="000000"/>
          <w:sz w:val="21"/>
          <w:szCs w:val="21"/>
        </w:rPr>
        <w:t>选用以下具有隔声降噪性能的构件和材料，满足</w:t>
      </w:r>
      <w:r>
        <w:rPr>
          <w:bCs/>
          <w:color w:val="000000"/>
          <w:sz w:val="21"/>
          <w:szCs w:val="21"/>
        </w:rPr>
        <w:t>1</w:t>
      </w:r>
      <w:r>
        <w:rPr>
          <w:rFonts w:hint="eastAsia"/>
          <w:bCs/>
          <w:color w:val="000000"/>
          <w:sz w:val="21"/>
          <w:szCs w:val="21"/>
        </w:rPr>
        <w:t>项，得</w:t>
      </w:r>
      <w:r>
        <w:rPr>
          <w:bCs/>
          <w:color w:val="000000"/>
          <w:sz w:val="21"/>
          <w:szCs w:val="21"/>
        </w:rPr>
        <w:t>2</w:t>
      </w:r>
      <w:r>
        <w:rPr>
          <w:rFonts w:hint="eastAsia"/>
          <w:bCs/>
          <w:color w:val="000000"/>
          <w:sz w:val="21"/>
          <w:szCs w:val="21"/>
        </w:rPr>
        <w:t>分，满足</w:t>
      </w:r>
      <w:r>
        <w:rPr>
          <w:bCs/>
          <w:color w:val="000000"/>
          <w:sz w:val="21"/>
          <w:szCs w:val="21"/>
        </w:rPr>
        <w:t>2</w:t>
      </w:r>
      <w:r>
        <w:rPr>
          <w:rFonts w:hint="eastAsia"/>
          <w:bCs/>
          <w:color w:val="000000"/>
          <w:sz w:val="21"/>
          <w:szCs w:val="21"/>
        </w:rPr>
        <w:t>项，得</w:t>
      </w:r>
      <w:r>
        <w:rPr>
          <w:bCs/>
          <w:color w:val="000000"/>
          <w:sz w:val="21"/>
          <w:szCs w:val="21"/>
        </w:rPr>
        <w:t>4</w:t>
      </w:r>
      <w:r>
        <w:rPr>
          <w:rFonts w:hint="eastAsia"/>
          <w:bCs/>
          <w:color w:val="000000"/>
          <w:sz w:val="21"/>
          <w:szCs w:val="21"/>
        </w:rPr>
        <w:t>分：</w:t>
      </w:r>
    </w:p>
    <w:p>
      <w:pPr>
        <w:pStyle w:val="59"/>
        <w:spacing w:line="360" w:lineRule="exact"/>
        <w:ind w:firstLine="420"/>
        <w:rPr>
          <w:bCs/>
          <w:color w:val="000000"/>
          <w:sz w:val="21"/>
          <w:szCs w:val="21"/>
        </w:rPr>
      </w:pPr>
      <w:r>
        <w:rPr>
          <w:rFonts w:hint="eastAsia"/>
          <w:bCs/>
          <w:color w:val="000000"/>
          <w:sz w:val="21"/>
          <w:szCs w:val="21"/>
        </w:rPr>
        <w:t>1）满足室内允许噪声级的分隔墙、窗、门等构件比例不小于50%；</w:t>
      </w:r>
    </w:p>
    <w:p>
      <w:pPr>
        <w:pStyle w:val="59"/>
        <w:spacing w:line="360" w:lineRule="exact"/>
        <w:ind w:firstLine="420"/>
        <w:rPr>
          <w:bCs/>
          <w:color w:val="000000"/>
          <w:sz w:val="21"/>
          <w:szCs w:val="21"/>
        </w:rPr>
      </w:pPr>
      <w:r>
        <w:rPr>
          <w:rFonts w:hint="eastAsia"/>
          <w:bCs/>
          <w:color w:val="000000"/>
          <w:sz w:val="21"/>
          <w:szCs w:val="21"/>
        </w:rPr>
        <w:t>2）吊顶选用降噪系数（NRC）不低于0.40的吸声材料比例不小于50%。</w:t>
      </w:r>
    </w:p>
    <w:p>
      <w:pPr>
        <w:pStyle w:val="59"/>
        <w:spacing w:line="360" w:lineRule="exact"/>
        <w:ind w:firstLine="420"/>
        <w:rPr>
          <w:bCs/>
          <w:color w:val="000000"/>
          <w:sz w:val="21"/>
          <w:szCs w:val="21"/>
        </w:rPr>
      </w:pPr>
      <w:r>
        <w:rPr>
          <w:bCs/>
          <w:color w:val="000000"/>
          <w:sz w:val="21"/>
          <w:szCs w:val="21"/>
        </w:rPr>
        <w:t>3  </w:t>
      </w:r>
      <w:r>
        <w:rPr>
          <w:rFonts w:hint="eastAsia"/>
          <w:bCs/>
          <w:color w:val="000000"/>
          <w:sz w:val="21"/>
          <w:szCs w:val="21"/>
        </w:rPr>
        <w:t>选用以下低噪声的暖通空调设备产品和给排水器具以及管材附件，满足</w:t>
      </w:r>
      <w:r>
        <w:rPr>
          <w:bCs/>
          <w:color w:val="000000"/>
          <w:sz w:val="21"/>
          <w:szCs w:val="21"/>
        </w:rPr>
        <w:t>1</w:t>
      </w:r>
      <w:r>
        <w:rPr>
          <w:rFonts w:hint="eastAsia"/>
          <w:bCs/>
          <w:color w:val="000000"/>
          <w:sz w:val="21"/>
          <w:szCs w:val="21"/>
        </w:rPr>
        <w:t>项，得</w:t>
      </w:r>
      <w:r>
        <w:rPr>
          <w:bCs/>
          <w:color w:val="000000"/>
          <w:sz w:val="21"/>
          <w:szCs w:val="21"/>
        </w:rPr>
        <w:t>2</w:t>
      </w:r>
      <w:r>
        <w:rPr>
          <w:rFonts w:hint="eastAsia"/>
          <w:bCs/>
          <w:color w:val="000000"/>
          <w:sz w:val="21"/>
          <w:szCs w:val="21"/>
        </w:rPr>
        <w:t>分；满足</w:t>
      </w:r>
      <w:r>
        <w:rPr>
          <w:bCs/>
          <w:color w:val="000000"/>
          <w:sz w:val="21"/>
          <w:szCs w:val="21"/>
        </w:rPr>
        <w:t>3</w:t>
      </w:r>
      <w:r>
        <w:rPr>
          <w:rFonts w:hint="eastAsia"/>
          <w:bCs/>
          <w:color w:val="000000"/>
          <w:sz w:val="21"/>
          <w:szCs w:val="21"/>
        </w:rPr>
        <w:t>项及以上，得</w:t>
      </w:r>
      <w:r>
        <w:rPr>
          <w:bCs/>
          <w:color w:val="000000"/>
          <w:sz w:val="21"/>
          <w:szCs w:val="21"/>
        </w:rPr>
        <w:t>4</w:t>
      </w:r>
      <w:r>
        <w:rPr>
          <w:rFonts w:hint="eastAsia"/>
          <w:bCs/>
          <w:color w:val="000000"/>
          <w:sz w:val="21"/>
          <w:szCs w:val="21"/>
        </w:rPr>
        <w:t>分：</w:t>
      </w:r>
    </w:p>
    <w:p>
      <w:pPr>
        <w:pStyle w:val="59"/>
        <w:spacing w:line="360" w:lineRule="exact"/>
        <w:ind w:firstLine="420"/>
        <w:rPr>
          <w:bCs/>
          <w:color w:val="000000"/>
          <w:sz w:val="21"/>
          <w:szCs w:val="21"/>
        </w:rPr>
      </w:pPr>
      <w:r>
        <w:rPr>
          <w:rFonts w:hint="eastAsia"/>
          <w:bCs/>
          <w:color w:val="000000"/>
          <w:sz w:val="21"/>
          <w:szCs w:val="21"/>
        </w:rPr>
        <w:t>1）采用虹吸式冲水方式的坐便器或同层排水的有效措施，使用率不小于50%；</w:t>
      </w:r>
    </w:p>
    <w:p>
      <w:pPr>
        <w:pStyle w:val="59"/>
        <w:spacing w:line="360" w:lineRule="exact"/>
        <w:ind w:firstLine="420"/>
        <w:rPr>
          <w:bCs/>
          <w:color w:val="000000"/>
          <w:sz w:val="21"/>
          <w:szCs w:val="21"/>
        </w:rPr>
      </w:pPr>
      <w:r>
        <w:rPr>
          <w:rFonts w:hint="eastAsia"/>
          <w:bCs/>
          <w:color w:val="000000"/>
          <w:sz w:val="21"/>
          <w:szCs w:val="21"/>
        </w:rPr>
        <w:t>2）采用排水铸铁管或选用内螺旋排水管、芯层发泡管等有隔音效果的塑料排水管的有效措施，使用率不小于50%；</w:t>
      </w:r>
    </w:p>
    <w:p>
      <w:pPr>
        <w:pStyle w:val="59"/>
        <w:spacing w:line="360" w:lineRule="exact"/>
        <w:ind w:firstLine="420"/>
        <w:rPr>
          <w:bCs/>
          <w:color w:val="000000"/>
          <w:sz w:val="21"/>
          <w:szCs w:val="21"/>
        </w:rPr>
      </w:pPr>
      <w:r>
        <w:rPr>
          <w:rFonts w:hint="eastAsia"/>
          <w:bCs/>
          <w:color w:val="000000"/>
          <w:sz w:val="21"/>
          <w:szCs w:val="21"/>
        </w:rPr>
        <w:t>3）室内暖通空调系统设计，设置消声器或选用低噪声的风口等有效措施，使用率不小于50%；</w:t>
      </w:r>
    </w:p>
    <w:p>
      <w:pPr>
        <w:pStyle w:val="59"/>
        <w:spacing w:line="360" w:lineRule="exact"/>
        <w:ind w:firstLine="420"/>
        <w:rPr>
          <w:bCs/>
          <w:color w:val="000000"/>
          <w:sz w:val="21"/>
          <w:szCs w:val="21"/>
        </w:rPr>
      </w:pPr>
      <w:r>
        <w:rPr>
          <w:rFonts w:hint="eastAsia"/>
          <w:bCs/>
          <w:color w:val="000000"/>
          <w:sz w:val="21"/>
          <w:szCs w:val="21"/>
        </w:rPr>
        <w:t>4）排水系统设计，设置器具通风管系统有效措施，使用率不小于50%；</w:t>
      </w:r>
    </w:p>
    <w:p>
      <w:pPr>
        <w:pStyle w:val="59"/>
        <w:spacing w:line="360" w:lineRule="exact"/>
        <w:ind w:firstLine="420"/>
        <w:rPr>
          <w:bCs/>
          <w:color w:val="000000"/>
          <w:sz w:val="21"/>
          <w:szCs w:val="21"/>
        </w:rPr>
      </w:pPr>
      <w:r>
        <w:rPr>
          <w:rFonts w:hint="eastAsia"/>
          <w:bCs/>
          <w:color w:val="000000"/>
          <w:sz w:val="21"/>
          <w:szCs w:val="21"/>
        </w:rPr>
        <w:t>5）室内孔洞（槽）、缝隙、连接处采取封堵隔声措施。</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w:t>
      </w:r>
      <w:r>
        <w:rPr>
          <w:b/>
          <w:bCs/>
          <w:color w:val="000000"/>
          <w:sz w:val="21"/>
          <w:szCs w:val="21"/>
        </w:rPr>
        <w:t>.2.14</w:t>
      </w:r>
      <w:r>
        <w:rPr>
          <w:rFonts w:hint="eastAsia"/>
          <w:b/>
          <w:bCs/>
          <w:color w:val="000000"/>
          <w:sz w:val="21"/>
          <w:szCs w:val="21"/>
        </w:rPr>
        <w:t xml:space="preserve">  </w:t>
      </w:r>
      <w:r>
        <w:rPr>
          <w:rFonts w:hint="eastAsia" w:eastAsia="仿宋"/>
          <w:color w:val="000000"/>
          <w:sz w:val="21"/>
          <w:szCs w:val="21"/>
        </w:rPr>
        <w:t>本条适用于各类民用建筑全装修的预评价、评价。居住建筑和旅馆建筑之外的其他类型建筑第3款第1）项、第2）项不参评。</w:t>
      </w:r>
    </w:p>
    <w:p>
      <w:pPr>
        <w:pStyle w:val="59"/>
        <w:spacing w:line="360" w:lineRule="exact"/>
        <w:ind w:firstLine="420"/>
        <w:rPr>
          <w:rFonts w:eastAsia="仿宋"/>
          <w:color w:val="000000"/>
          <w:sz w:val="21"/>
          <w:szCs w:val="21"/>
        </w:rPr>
      </w:pPr>
      <w:r>
        <w:rPr>
          <w:rFonts w:hint="eastAsia" w:eastAsia="仿宋"/>
          <w:color w:val="000000"/>
          <w:sz w:val="21"/>
          <w:szCs w:val="21"/>
        </w:rPr>
        <w:t>解决民用建筑室内的噪声干扰问题应从建筑内的平面布置</w:t>
      </w:r>
      <w:r>
        <w:rPr>
          <w:rFonts w:eastAsia="仿宋"/>
          <w:color w:val="000000"/>
          <w:sz w:val="21"/>
          <w:szCs w:val="21"/>
        </w:rPr>
        <w:t>考虑</w:t>
      </w:r>
      <w:r>
        <w:rPr>
          <w:rFonts w:hint="eastAsia" w:eastAsia="仿宋"/>
          <w:color w:val="000000"/>
          <w:sz w:val="21"/>
          <w:szCs w:val="21"/>
        </w:rPr>
        <w:t>，对朝向噪声源的门窗、紧邻电梯井、机房等后期装修给时采取隔声和减振构造措施。材料与构件的选择也十分重要。此外，厨房、阳台、卫生间排水噪声是影响正常主作生活的主要噪声，因此鼓励采用包括同层排水、旋流弯头和隔声材料包裹等有效措施加以控制或改善。</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本条的评价方法为:预评价在设计阶段有同相关设计文件，评价</w:t>
      </w:r>
      <w:r>
        <w:rPr>
          <w:rFonts w:eastAsia="仿宋"/>
          <w:color w:val="000000"/>
          <w:sz w:val="21"/>
          <w:szCs w:val="21"/>
        </w:rPr>
        <w:t>查阅相关文件，并应现场核实。</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15</w:t>
      </w:r>
      <w:r>
        <w:rPr>
          <w:rFonts w:hint="eastAsia"/>
          <w:b/>
          <w:bCs/>
          <w:color w:val="000000"/>
          <w:sz w:val="21"/>
          <w:szCs w:val="21"/>
        </w:rPr>
        <w:t xml:space="preserve">  </w:t>
      </w:r>
      <w:r>
        <w:rPr>
          <w:bCs/>
          <w:color w:val="000000"/>
          <w:sz w:val="21"/>
          <w:szCs w:val="21"/>
        </w:rPr>
        <w:t>充分利用天然光，评价总分值为9分，并按下列规则分别评分并累计：</w:t>
      </w:r>
    </w:p>
    <w:p>
      <w:pPr>
        <w:adjustRightInd w:val="0"/>
        <w:spacing w:line="360" w:lineRule="atLeast"/>
        <w:ind w:firstLine="420" w:firstLineChars="200"/>
        <w:outlineLvl w:val="2"/>
        <w:rPr>
          <w:bCs/>
          <w:color w:val="000000"/>
          <w:szCs w:val="21"/>
        </w:rPr>
      </w:pPr>
      <w:r>
        <w:rPr>
          <w:rFonts w:hint="eastAsia"/>
          <w:bCs/>
          <w:color w:val="000000"/>
          <w:szCs w:val="21"/>
        </w:rPr>
        <w:t>1住宅建筑室内主要功能空间至少60%面积比例区域，其采光照度值不低于3001x的小时数平均不少于8h/d，得9分。</w:t>
      </w:r>
    </w:p>
    <w:p>
      <w:pPr>
        <w:adjustRightInd w:val="0"/>
        <w:spacing w:line="360" w:lineRule="atLeast"/>
        <w:ind w:firstLine="420" w:firstLineChars="200"/>
        <w:outlineLvl w:val="2"/>
        <w:rPr>
          <w:bCs/>
          <w:color w:val="000000"/>
          <w:szCs w:val="21"/>
        </w:rPr>
      </w:pPr>
      <w:r>
        <w:rPr>
          <w:rFonts w:hint="eastAsia"/>
          <w:bCs/>
          <w:color w:val="000000"/>
          <w:szCs w:val="21"/>
        </w:rPr>
        <w:t>2公共建筑按下列规则分别评分并累计：</w:t>
      </w:r>
    </w:p>
    <w:p>
      <w:pPr>
        <w:adjustRightInd w:val="0"/>
        <w:spacing w:line="360" w:lineRule="atLeast"/>
        <w:ind w:firstLine="420" w:firstLineChars="200"/>
        <w:outlineLvl w:val="2"/>
        <w:rPr>
          <w:bCs/>
          <w:color w:val="000000"/>
          <w:szCs w:val="21"/>
        </w:rPr>
      </w:pPr>
      <w:r>
        <w:rPr>
          <w:rFonts w:hint="eastAsia"/>
          <w:bCs/>
          <w:color w:val="000000"/>
          <w:szCs w:val="21"/>
        </w:rPr>
        <w:t>1）内区采光系数满足采光要求的面积比例达到60%，得3分；</w:t>
      </w:r>
    </w:p>
    <w:p>
      <w:pPr>
        <w:adjustRightInd w:val="0"/>
        <w:spacing w:line="360" w:lineRule="atLeast"/>
        <w:ind w:firstLine="420" w:firstLineChars="200"/>
        <w:outlineLvl w:val="2"/>
        <w:rPr>
          <w:bCs/>
          <w:color w:val="000000"/>
          <w:szCs w:val="21"/>
        </w:rPr>
      </w:pPr>
      <w:r>
        <w:rPr>
          <w:rFonts w:hint="eastAsia"/>
          <w:bCs/>
          <w:color w:val="000000"/>
          <w:szCs w:val="21"/>
        </w:rPr>
        <w:t>2）地下空间平均采光系数不小于0.5%的面积与地下室首层面积的比例达到10%以上，得3分；</w:t>
      </w:r>
    </w:p>
    <w:p>
      <w:pPr>
        <w:adjustRightInd w:val="0"/>
        <w:spacing w:line="360" w:lineRule="atLeast"/>
        <w:ind w:firstLine="420" w:firstLineChars="200"/>
        <w:outlineLvl w:val="2"/>
        <w:rPr>
          <w:bCs/>
          <w:color w:val="000000"/>
          <w:szCs w:val="21"/>
        </w:rPr>
      </w:pPr>
      <w:r>
        <w:rPr>
          <w:rFonts w:hint="eastAsia"/>
          <w:bCs/>
          <w:color w:val="000000"/>
          <w:szCs w:val="21"/>
        </w:rPr>
        <w:t>3）室内主要功能空间至少60%面积比例区域的采光照度值不低于采光要求的小时数平均不少于4h/d，得3分。</w:t>
      </w:r>
    </w:p>
    <w:p>
      <w:pPr>
        <w:adjustRightInd w:val="0"/>
        <w:spacing w:line="360" w:lineRule="atLeast"/>
        <w:ind w:firstLine="420" w:firstLineChars="200"/>
        <w:outlineLvl w:val="2"/>
        <w:rPr>
          <w:bCs/>
          <w:color w:val="000000"/>
          <w:szCs w:val="21"/>
        </w:rPr>
      </w:pPr>
      <w:r>
        <w:rPr>
          <w:rFonts w:hint="eastAsia"/>
          <w:bCs/>
          <w:color w:val="000000"/>
          <w:szCs w:val="21"/>
        </w:rPr>
        <w:t>3主要功能房间有眩光控制措施，得3分。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15</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本条对住宅建筑和公共建筑达到采光照度要求的采光区域和采光时间均提出了要求，以更为全面地评价室内采光质量。天然采光不仅有利于照明节能，而且有利于增加室内外的自然信息交流，改善空间卫生环境，调节空间使用者的心情。对于大进深、地下空间宜优先通过合理的建筑设计（如半地下室、天窗等方式）改善天然采光条件，且尽可能地避免出现无窗空间。对于无法避免的情况，鼓励通过导光管、棱镜玻璃等合理措施充分利用天然光，促进人们的舒适健康，但此时应对无法避免因素进行解释说明。</w:t>
      </w:r>
    </w:p>
    <w:p>
      <w:pPr>
        <w:pStyle w:val="59"/>
        <w:spacing w:line="360" w:lineRule="exact"/>
        <w:ind w:firstLine="420"/>
        <w:rPr>
          <w:rFonts w:eastAsia="仿宋"/>
          <w:color w:val="000000"/>
          <w:sz w:val="21"/>
          <w:szCs w:val="21"/>
        </w:rPr>
      </w:pPr>
      <w:r>
        <w:rPr>
          <w:rFonts w:hint="eastAsia" w:eastAsia="仿宋"/>
          <w:color w:val="000000"/>
          <w:sz w:val="21"/>
          <w:szCs w:val="21"/>
        </w:rPr>
        <w:t>第1 款和第2 款针对住宅建筑和公共建筑分别提出评价要求。为了更加真实地反映天然光利用的效果，采用基于天然光气候数据的建筑采光全年动态分析的方法对其进行评价。建筑及采光设计时，可通过软件对建筑的动态采光效果进行计算分析，根据计算结构合理进行采光系统设计。采光模拟应符合现行行业标准《民用建筑绿色性能计算标准》JGJ/T449 的相关要求。采光相关指标的计算过程中，相关参数应设定为：地面反射比0.3，墙面0.6，外表面0.5，顶棚0.75。外窗的透射比根据设计图纸定。如果设计图纸中涉及的相关参数有所不同，需提供材料测试报告。</w:t>
      </w:r>
    </w:p>
    <w:p>
      <w:pPr>
        <w:pStyle w:val="59"/>
        <w:spacing w:line="360" w:lineRule="exact"/>
        <w:ind w:firstLine="420"/>
        <w:rPr>
          <w:rFonts w:eastAsia="仿宋"/>
          <w:color w:val="000000"/>
          <w:sz w:val="21"/>
          <w:szCs w:val="21"/>
        </w:rPr>
      </w:pPr>
      <w:r>
        <w:rPr>
          <w:rFonts w:hint="eastAsia" w:eastAsia="仿宋"/>
          <w:color w:val="000000"/>
          <w:sz w:val="21"/>
          <w:szCs w:val="21"/>
        </w:rPr>
        <w:t>第3 款，过度阳光进入室内会造成强烈的明暗对比，影响室内人员的视觉舒适度问题。要求建筑在充分利用天然光资源的同时，还应注意控制不舒适眩光，要求符合现行国家标准《建筑采光设计标准》GB50033 中控制不舒适眩光的相关规定。</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本条的评价方法为：预评价查阅相关设计文件、计算书；评价查阅相关竣工图、计算书、检测报告，必要时现场核查。</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16</w:t>
      </w:r>
      <w:r>
        <w:rPr>
          <w:rFonts w:hint="eastAsia"/>
          <w:b/>
          <w:bCs/>
          <w:color w:val="000000"/>
          <w:sz w:val="21"/>
          <w:szCs w:val="21"/>
        </w:rPr>
        <w:t xml:space="preserve">  </w:t>
      </w:r>
      <w:r>
        <w:rPr>
          <w:rFonts w:hint="eastAsia"/>
          <w:bCs/>
          <w:color w:val="000000"/>
          <w:sz w:val="21"/>
          <w:szCs w:val="21"/>
        </w:rPr>
        <w:t>合理设置选择室内照明光源色，确保室内照明环境的质量，评价总分值为</w:t>
      </w:r>
      <w:r>
        <w:rPr>
          <w:bCs/>
          <w:color w:val="000000"/>
          <w:sz w:val="21"/>
          <w:szCs w:val="21"/>
        </w:rPr>
        <w:t>5</w:t>
      </w:r>
      <w:r>
        <w:rPr>
          <w:rFonts w:hint="eastAsia"/>
          <w:bCs/>
          <w:color w:val="000000"/>
          <w:sz w:val="21"/>
          <w:szCs w:val="21"/>
        </w:rPr>
        <w:t>分，并按下列规则分别评分并累计：</w:t>
      </w:r>
    </w:p>
    <w:p>
      <w:pPr>
        <w:pStyle w:val="59"/>
        <w:spacing w:line="360" w:lineRule="exact"/>
        <w:ind w:firstLine="420"/>
        <w:rPr>
          <w:bCs/>
          <w:color w:val="000000"/>
          <w:sz w:val="21"/>
          <w:szCs w:val="21"/>
        </w:rPr>
      </w:pPr>
      <w:r>
        <w:rPr>
          <w:rFonts w:hint="eastAsia"/>
          <w:bCs/>
          <w:color w:val="000000"/>
          <w:sz w:val="21"/>
          <w:szCs w:val="21"/>
        </w:rPr>
        <w:t>1  根据照度要求、室内各表面和家具的颜色、气候环境以及应用场所的条件确定光源颜色，得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Cs/>
          <w:color w:val="000000"/>
          <w:sz w:val="21"/>
          <w:szCs w:val="21"/>
        </w:rPr>
        <w:t>2  在长期工作或停留的房间或场所选用发光二极管灯光源时，色温不高于4000K，特殊显色指数R9大于零，得</w:t>
      </w:r>
      <w:r>
        <w:rPr>
          <w:bCs/>
          <w:color w:val="000000"/>
          <w:sz w:val="21"/>
          <w:szCs w:val="21"/>
        </w:rPr>
        <w:t>2</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16</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室内照明质量是影响室内环境质量的重要因素之一， 良好的照明不但有利于提升人们的工作和学习效率，更有利于人们的身心健康,减少各种职业疾病。室内照明光源色表特征及适用场所宜符合表</w:t>
      </w:r>
      <w:r>
        <w:rPr>
          <w:rFonts w:hint="eastAsia" w:eastAsia="仿宋"/>
          <w:bCs/>
          <w:color w:val="000000"/>
          <w:sz w:val="21"/>
          <w:szCs w:val="21"/>
        </w:rPr>
        <w:t>4.2.</w:t>
      </w:r>
      <w:r>
        <w:rPr>
          <w:rFonts w:eastAsia="仿宋"/>
          <w:bCs/>
          <w:color w:val="000000"/>
          <w:sz w:val="21"/>
          <w:szCs w:val="21"/>
        </w:rPr>
        <w:t>15</w:t>
      </w:r>
      <w:r>
        <w:rPr>
          <w:rFonts w:hint="eastAsia" w:eastAsia="仿宋"/>
          <w:color w:val="000000"/>
          <w:sz w:val="21"/>
          <w:szCs w:val="21"/>
        </w:rPr>
        <w:t>的规定。</w:t>
      </w:r>
    </w:p>
    <w:p>
      <w:pPr>
        <w:pStyle w:val="59"/>
        <w:spacing w:line="360" w:lineRule="exact"/>
        <w:ind w:firstLine="0" w:firstLineChars="0"/>
        <w:jc w:val="center"/>
        <w:rPr>
          <w:rFonts w:eastAsia="仿宋"/>
          <w:color w:val="000000"/>
          <w:sz w:val="21"/>
          <w:szCs w:val="21"/>
        </w:rPr>
      </w:pPr>
      <w:r>
        <w:rPr>
          <w:rFonts w:hint="eastAsia" w:eastAsia="仿宋"/>
          <w:color w:val="000000"/>
          <w:sz w:val="21"/>
          <w:szCs w:val="21"/>
        </w:rPr>
        <w:t>表</w:t>
      </w:r>
      <w:r>
        <w:rPr>
          <w:rFonts w:hint="eastAsia"/>
          <w:b/>
          <w:bCs/>
          <w:color w:val="000000"/>
          <w:sz w:val="21"/>
          <w:szCs w:val="21"/>
        </w:rPr>
        <w:t>4.2.</w:t>
      </w:r>
      <w:r>
        <w:rPr>
          <w:b/>
          <w:bCs/>
          <w:color w:val="000000"/>
          <w:sz w:val="21"/>
          <w:szCs w:val="21"/>
        </w:rPr>
        <w:t>15</w:t>
      </w:r>
      <w:r>
        <w:rPr>
          <w:rFonts w:hint="eastAsia"/>
          <w:b/>
          <w:bCs/>
          <w:color w:val="000000"/>
          <w:sz w:val="21"/>
          <w:szCs w:val="21"/>
        </w:rPr>
        <w:t xml:space="preserve">  </w:t>
      </w:r>
      <w:r>
        <w:rPr>
          <w:rFonts w:hint="eastAsia" w:eastAsia="仿宋"/>
          <w:color w:val="000000"/>
          <w:sz w:val="21"/>
          <w:szCs w:val="21"/>
        </w:rPr>
        <w:t>光源</w:t>
      </w:r>
      <w:r>
        <w:rPr>
          <w:rFonts w:eastAsia="仿宋"/>
          <w:color w:val="000000"/>
          <w:sz w:val="21"/>
          <w:szCs w:val="21"/>
        </w:rPr>
        <w:t>色表特征及适用场所</w:t>
      </w:r>
    </w:p>
    <w:tbl>
      <w:tblPr>
        <w:tblStyle w:val="147"/>
        <w:tblW w:w="58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19"/>
        <w:gridCol w:w="1513"/>
        <w:gridCol w:w="28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1" w:hRule="exact"/>
        </w:trPr>
        <w:tc>
          <w:tcPr>
            <w:tcW w:w="1519" w:type="dxa"/>
            <w:tcBorders>
              <w:top w:val="single" w:color="000000" w:sz="4" w:space="0"/>
              <w:left w:val="single" w:color="000000" w:sz="4" w:space="0"/>
              <w:bottom w:val="single" w:color="000000" w:sz="4" w:space="0"/>
              <w:right w:val="single" w:color="000000" w:sz="4" w:space="0"/>
            </w:tcBorders>
            <w:vAlign w:val="top"/>
          </w:tcPr>
          <w:p>
            <w:pPr>
              <w:pStyle w:val="93"/>
              <w:spacing w:before="66"/>
              <w:ind w:left="5"/>
              <w:jc w:val="center"/>
              <w:rPr>
                <w:rFonts w:ascii="Calibri" w:hAnsi="Calibri" w:eastAsia="宋体" w:cs="宋体"/>
                <w:color w:val="000000"/>
                <w:sz w:val="15"/>
                <w:szCs w:val="21"/>
                <w:lang w:eastAsia="en-US"/>
              </w:rPr>
            </w:pPr>
            <w:r>
              <w:rPr>
                <w:rFonts w:ascii="Calibri" w:hAnsi="Calibri" w:eastAsia="宋体" w:cs="宋体"/>
                <w:color w:val="000000"/>
                <w:sz w:val="15"/>
                <w:szCs w:val="21"/>
                <w:lang w:eastAsia="en-US"/>
              </w:rPr>
              <w:t>相关色性（</w:t>
            </w:r>
            <w:r>
              <w:rPr>
                <w:rFonts w:ascii="Calibri" w:hAnsi="Calibri" w:eastAsia="宋体" w:cs="Calibri"/>
                <w:color w:val="000000"/>
                <w:sz w:val="15"/>
                <w:szCs w:val="21"/>
                <w:lang w:eastAsia="en-US"/>
              </w:rPr>
              <w:t>K</w:t>
            </w:r>
            <w:r>
              <w:rPr>
                <w:rFonts w:ascii="Calibri" w:hAnsi="Calibri" w:eastAsia="宋体" w:cs="宋体"/>
                <w:color w:val="000000"/>
                <w:sz w:val="15"/>
                <w:szCs w:val="21"/>
                <w:lang w:eastAsia="en-US"/>
              </w:rPr>
              <w:t>）</w:t>
            </w:r>
          </w:p>
        </w:tc>
        <w:tc>
          <w:tcPr>
            <w:tcW w:w="1513" w:type="dxa"/>
            <w:tcBorders>
              <w:top w:val="single" w:color="000000" w:sz="4" w:space="0"/>
              <w:left w:val="single" w:color="000000" w:sz="4" w:space="0"/>
              <w:bottom w:val="single" w:color="000000" w:sz="4" w:space="0"/>
              <w:right w:val="single" w:color="000000" w:sz="4" w:space="0"/>
            </w:tcBorders>
            <w:vAlign w:val="top"/>
          </w:tcPr>
          <w:p>
            <w:pPr>
              <w:pStyle w:val="93"/>
              <w:spacing w:before="66"/>
              <w:ind w:left="7"/>
              <w:jc w:val="center"/>
              <w:rPr>
                <w:rFonts w:ascii="Calibri" w:hAnsi="Calibri" w:eastAsia="宋体" w:cs="宋体"/>
                <w:color w:val="000000"/>
                <w:sz w:val="15"/>
                <w:szCs w:val="21"/>
                <w:lang w:eastAsia="en-US"/>
              </w:rPr>
            </w:pPr>
            <w:r>
              <w:rPr>
                <w:rFonts w:ascii="Calibri" w:hAnsi="Calibri" w:eastAsia="宋体" w:cs="宋体"/>
                <w:color w:val="000000"/>
                <w:sz w:val="15"/>
                <w:szCs w:val="21"/>
                <w:lang w:eastAsia="en-US"/>
              </w:rPr>
              <w:t>色表特征</w:t>
            </w:r>
          </w:p>
        </w:tc>
        <w:tc>
          <w:tcPr>
            <w:tcW w:w="2854" w:type="dxa"/>
            <w:tcBorders>
              <w:top w:val="single" w:color="000000" w:sz="4" w:space="0"/>
              <w:left w:val="single" w:color="000000" w:sz="4" w:space="0"/>
              <w:bottom w:val="single" w:color="000000" w:sz="4" w:space="0"/>
              <w:right w:val="single" w:color="000000" w:sz="4" w:space="0"/>
            </w:tcBorders>
            <w:vAlign w:val="top"/>
          </w:tcPr>
          <w:p>
            <w:pPr>
              <w:pStyle w:val="93"/>
              <w:spacing w:before="66"/>
              <w:ind w:left="427"/>
              <w:rPr>
                <w:rFonts w:ascii="Calibri" w:hAnsi="Calibri" w:eastAsia="宋体" w:cs="宋体"/>
                <w:color w:val="000000"/>
                <w:sz w:val="15"/>
                <w:szCs w:val="21"/>
                <w:lang w:eastAsia="en-US"/>
              </w:rPr>
            </w:pPr>
            <w:r>
              <w:rPr>
                <w:rFonts w:ascii="Calibri" w:hAnsi="Calibri" w:eastAsia="宋体" w:cs="宋体"/>
                <w:color w:val="000000"/>
                <w:sz w:val="15"/>
                <w:szCs w:val="21"/>
                <w:lang w:eastAsia="en-US"/>
              </w:rPr>
              <w:t>适用场所举例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6" w:hRule="exact"/>
        </w:trPr>
        <w:tc>
          <w:tcPr>
            <w:tcW w:w="1519" w:type="dxa"/>
            <w:tcBorders>
              <w:top w:val="single" w:color="000000" w:sz="4" w:space="0"/>
              <w:left w:val="single" w:color="000000" w:sz="4" w:space="0"/>
              <w:bottom w:val="single" w:color="000000" w:sz="4" w:space="0"/>
              <w:right w:val="single" w:color="000000" w:sz="4" w:space="0"/>
            </w:tcBorders>
            <w:vAlign w:val="top"/>
          </w:tcPr>
          <w:p>
            <w:pPr>
              <w:pStyle w:val="93"/>
              <w:spacing w:before="105"/>
              <w:ind w:left="3"/>
              <w:jc w:val="center"/>
              <w:rPr>
                <w:rFonts w:ascii="Calibri" w:hAnsi="Calibri" w:eastAsia="宋体" w:cs="Calibri"/>
                <w:color w:val="000000"/>
                <w:sz w:val="15"/>
                <w:szCs w:val="21"/>
                <w:lang w:eastAsia="en-US"/>
              </w:rPr>
            </w:pPr>
            <w:r>
              <w:rPr>
                <w:rFonts w:ascii="Calibri" w:hAnsi="Calibri" w:eastAsia="宋体" w:cs="黑体"/>
                <w:color w:val="000000"/>
                <w:sz w:val="15"/>
                <w:szCs w:val="22"/>
                <w:lang w:eastAsia="en-US"/>
              </w:rPr>
              <w:t>&lt;3300</w:t>
            </w:r>
          </w:p>
        </w:tc>
        <w:tc>
          <w:tcPr>
            <w:tcW w:w="1513" w:type="dxa"/>
            <w:tcBorders>
              <w:top w:val="single" w:color="000000" w:sz="4" w:space="0"/>
              <w:left w:val="single" w:color="000000" w:sz="4" w:space="0"/>
              <w:bottom w:val="single" w:color="000000" w:sz="4" w:space="0"/>
              <w:right w:val="single" w:color="000000" w:sz="4" w:space="0"/>
            </w:tcBorders>
            <w:vAlign w:val="top"/>
          </w:tcPr>
          <w:p>
            <w:pPr>
              <w:pStyle w:val="93"/>
              <w:spacing w:before="64"/>
              <w:ind w:left="4"/>
              <w:jc w:val="center"/>
              <w:rPr>
                <w:rFonts w:ascii="Calibri" w:hAnsi="Calibri" w:eastAsia="宋体" w:cs="宋体"/>
                <w:color w:val="000000"/>
                <w:sz w:val="15"/>
                <w:szCs w:val="21"/>
                <w:lang w:eastAsia="en-US"/>
              </w:rPr>
            </w:pPr>
            <w:r>
              <w:rPr>
                <w:rFonts w:ascii="Calibri" w:hAnsi="Calibri" w:eastAsia="宋体" w:cs="宋体"/>
                <w:color w:val="000000"/>
                <w:sz w:val="15"/>
                <w:szCs w:val="21"/>
                <w:lang w:eastAsia="en-US"/>
              </w:rPr>
              <w:t>暖</w:t>
            </w:r>
          </w:p>
        </w:tc>
        <w:tc>
          <w:tcPr>
            <w:tcW w:w="2854" w:type="dxa"/>
            <w:tcBorders>
              <w:top w:val="single" w:color="000000" w:sz="4" w:space="0"/>
              <w:left w:val="single" w:color="000000" w:sz="4" w:space="0"/>
              <w:bottom w:val="single" w:color="000000" w:sz="4" w:space="0"/>
              <w:right w:val="single" w:color="000000" w:sz="4" w:space="0"/>
            </w:tcBorders>
            <w:vAlign w:val="top"/>
          </w:tcPr>
          <w:p>
            <w:pPr>
              <w:pStyle w:val="93"/>
              <w:spacing w:before="64" w:line="408" w:lineRule="auto"/>
              <w:ind w:left="532" w:right="108" w:hanging="420"/>
              <w:rPr>
                <w:rFonts w:ascii="Calibri" w:hAnsi="Calibri" w:eastAsia="宋体" w:cs="宋体"/>
                <w:color w:val="000000"/>
                <w:sz w:val="15"/>
                <w:szCs w:val="21"/>
                <w:lang w:eastAsia="zh-CN"/>
              </w:rPr>
            </w:pPr>
            <w:r>
              <w:rPr>
                <w:rFonts w:ascii="Calibri" w:hAnsi="Calibri" w:eastAsia="宋体" w:cs="宋体"/>
                <w:color w:val="000000"/>
                <w:sz w:val="15"/>
                <w:szCs w:val="21"/>
                <w:lang w:eastAsia="zh-CN"/>
              </w:rPr>
              <w:t>客房、卧室、病房、</w:t>
            </w:r>
            <w:r>
              <w:rPr>
                <w:rFonts w:ascii="Calibri" w:hAnsi="Calibri" w:eastAsia="宋体" w:cs="宋体"/>
                <w:color w:val="000000"/>
                <w:spacing w:val="-103"/>
                <w:sz w:val="15"/>
                <w:szCs w:val="21"/>
                <w:lang w:eastAsia="zh-CN"/>
              </w:rPr>
              <w:t xml:space="preserve"> </w:t>
            </w:r>
            <w:r>
              <w:rPr>
                <w:rFonts w:ascii="Calibri" w:hAnsi="Calibri" w:eastAsia="宋体" w:cs="宋体"/>
                <w:color w:val="000000"/>
                <w:sz w:val="15"/>
                <w:szCs w:val="21"/>
                <w:lang w:eastAsia="zh-CN"/>
              </w:rPr>
              <w:t>酒吧、餐厅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49" w:hRule="exact"/>
        </w:trPr>
        <w:tc>
          <w:tcPr>
            <w:tcW w:w="1519" w:type="dxa"/>
            <w:tcBorders>
              <w:top w:val="single" w:color="000000" w:sz="4" w:space="0"/>
              <w:left w:val="single" w:color="000000" w:sz="4" w:space="0"/>
              <w:bottom w:val="single" w:color="000000" w:sz="4" w:space="0"/>
              <w:right w:val="single" w:color="000000" w:sz="4" w:space="0"/>
            </w:tcBorders>
            <w:vAlign w:val="top"/>
          </w:tcPr>
          <w:p>
            <w:pPr>
              <w:pStyle w:val="93"/>
              <w:spacing w:before="105"/>
              <w:ind w:left="6"/>
              <w:jc w:val="center"/>
              <w:rPr>
                <w:rFonts w:ascii="Calibri" w:hAnsi="Calibri" w:eastAsia="宋体" w:cs="Calibri"/>
                <w:color w:val="000000"/>
                <w:sz w:val="15"/>
                <w:szCs w:val="21"/>
                <w:lang w:eastAsia="en-US"/>
              </w:rPr>
            </w:pPr>
            <w:r>
              <w:rPr>
                <w:rFonts w:ascii="Calibri" w:hAnsi="Calibri" w:eastAsia="宋体" w:cs="黑体"/>
                <w:color w:val="000000"/>
                <w:sz w:val="15"/>
                <w:szCs w:val="22"/>
                <w:lang w:eastAsia="en-US"/>
              </w:rPr>
              <w:t>3300~5300</w:t>
            </w:r>
          </w:p>
        </w:tc>
        <w:tc>
          <w:tcPr>
            <w:tcW w:w="1513" w:type="dxa"/>
            <w:tcBorders>
              <w:top w:val="single" w:color="000000" w:sz="4" w:space="0"/>
              <w:left w:val="single" w:color="000000" w:sz="4" w:space="0"/>
              <w:bottom w:val="single" w:color="000000" w:sz="4" w:space="0"/>
              <w:right w:val="single" w:color="000000" w:sz="4" w:space="0"/>
            </w:tcBorders>
            <w:vAlign w:val="top"/>
          </w:tcPr>
          <w:p>
            <w:pPr>
              <w:pStyle w:val="93"/>
              <w:spacing w:before="64"/>
              <w:ind w:left="4"/>
              <w:jc w:val="center"/>
              <w:rPr>
                <w:rFonts w:ascii="Calibri" w:hAnsi="Calibri" w:eastAsia="宋体" w:cs="宋体"/>
                <w:color w:val="000000"/>
                <w:sz w:val="15"/>
                <w:szCs w:val="21"/>
                <w:lang w:eastAsia="en-US"/>
              </w:rPr>
            </w:pPr>
            <w:r>
              <w:rPr>
                <w:rFonts w:ascii="Calibri" w:hAnsi="Calibri" w:eastAsia="宋体" w:cs="宋体"/>
                <w:color w:val="000000"/>
                <w:sz w:val="15"/>
                <w:szCs w:val="21"/>
                <w:lang w:eastAsia="en-US"/>
              </w:rPr>
              <w:t>中间</w:t>
            </w:r>
          </w:p>
        </w:tc>
        <w:tc>
          <w:tcPr>
            <w:tcW w:w="2854" w:type="dxa"/>
            <w:tcBorders>
              <w:top w:val="single" w:color="000000" w:sz="4" w:space="0"/>
              <w:left w:val="single" w:color="000000" w:sz="4" w:space="0"/>
              <w:bottom w:val="single" w:color="000000" w:sz="4" w:space="0"/>
              <w:right w:val="single" w:color="000000" w:sz="4" w:space="0"/>
            </w:tcBorders>
            <w:vAlign w:val="top"/>
          </w:tcPr>
          <w:p>
            <w:pPr>
              <w:pStyle w:val="93"/>
              <w:spacing w:before="64" w:line="408" w:lineRule="auto"/>
              <w:ind w:left="103" w:right="-5" w:hanging="106"/>
              <w:jc w:val="center"/>
              <w:rPr>
                <w:rFonts w:ascii="Calibri" w:hAnsi="Calibri" w:eastAsia="宋体" w:cs="宋体"/>
                <w:color w:val="000000"/>
                <w:sz w:val="15"/>
                <w:szCs w:val="21"/>
                <w:lang w:eastAsia="zh-CN"/>
              </w:rPr>
            </w:pPr>
            <w:r>
              <w:rPr>
                <w:rFonts w:ascii="Calibri" w:hAnsi="Calibri" w:eastAsia="宋体" w:cs="宋体"/>
                <w:color w:val="000000"/>
                <w:sz w:val="15"/>
                <w:szCs w:val="21"/>
                <w:lang w:eastAsia="zh-CN"/>
              </w:rPr>
              <w:t xml:space="preserve">办公室、教室、阅览 室、商场、浴室、诊 </w:t>
            </w:r>
            <w:r>
              <w:rPr>
                <w:rFonts w:ascii="Calibri" w:hAnsi="Calibri" w:eastAsia="宋体" w:cs="宋体"/>
                <w:color w:val="000000"/>
                <w:spacing w:val="-10"/>
                <w:sz w:val="15"/>
                <w:szCs w:val="21"/>
                <w:lang w:eastAsia="zh-CN"/>
              </w:rPr>
              <w:t>室、检验室、实验室、</w:t>
            </w:r>
            <w:r>
              <w:rPr>
                <w:rFonts w:ascii="Calibri" w:hAnsi="Calibri" w:eastAsia="宋体" w:cs="宋体"/>
                <w:color w:val="000000"/>
                <w:sz w:val="15"/>
                <w:szCs w:val="21"/>
                <w:lang w:eastAsia="zh-CN"/>
              </w:rPr>
              <w:t xml:space="preserve"> 控制室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6" w:hRule="exact"/>
        </w:trPr>
        <w:tc>
          <w:tcPr>
            <w:tcW w:w="1519" w:type="dxa"/>
            <w:tcBorders>
              <w:top w:val="single" w:color="000000" w:sz="4" w:space="0"/>
              <w:left w:val="single" w:color="000000" w:sz="4" w:space="0"/>
              <w:bottom w:val="single" w:color="000000" w:sz="4" w:space="0"/>
              <w:right w:val="single" w:color="000000" w:sz="4" w:space="0"/>
            </w:tcBorders>
            <w:vAlign w:val="top"/>
          </w:tcPr>
          <w:p>
            <w:pPr>
              <w:pStyle w:val="93"/>
              <w:spacing w:before="117"/>
              <w:ind w:left="3"/>
              <w:jc w:val="center"/>
              <w:rPr>
                <w:rFonts w:ascii="Calibri" w:hAnsi="Calibri" w:eastAsia="宋体" w:cs="Arial"/>
                <w:color w:val="000000"/>
                <w:sz w:val="15"/>
                <w:szCs w:val="20"/>
                <w:lang w:eastAsia="en-US"/>
              </w:rPr>
            </w:pPr>
            <w:r>
              <w:rPr>
                <w:rFonts w:ascii="Calibri" w:hAnsi="Calibri" w:eastAsia="宋体" w:cs="黑体"/>
                <w:color w:val="000000"/>
                <w:sz w:val="15"/>
                <w:szCs w:val="22"/>
                <w:lang w:eastAsia="en-US"/>
              </w:rPr>
              <w:t>&gt;5300</w:t>
            </w:r>
          </w:p>
        </w:tc>
        <w:tc>
          <w:tcPr>
            <w:tcW w:w="1513" w:type="dxa"/>
            <w:tcBorders>
              <w:top w:val="single" w:color="000000" w:sz="4" w:space="0"/>
              <w:left w:val="single" w:color="000000" w:sz="4" w:space="0"/>
              <w:bottom w:val="single" w:color="000000" w:sz="4" w:space="0"/>
              <w:right w:val="single" w:color="000000" w:sz="4" w:space="0"/>
            </w:tcBorders>
            <w:vAlign w:val="top"/>
          </w:tcPr>
          <w:p>
            <w:pPr>
              <w:pStyle w:val="93"/>
              <w:spacing w:before="64"/>
              <w:ind w:left="4"/>
              <w:jc w:val="center"/>
              <w:rPr>
                <w:rFonts w:ascii="Calibri" w:hAnsi="Calibri" w:eastAsia="宋体" w:cs="宋体"/>
                <w:color w:val="000000"/>
                <w:sz w:val="15"/>
                <w:szCs w:val="21"/>
                <w:lang w:eastAsia="en-US"/>
              </w:rPr>
            </w:pPr>
            <w:r>
              <w:rPr>
                <w:rFonts w:ascii="Calibri" w:hAnsi="Calibri" w:eastAsia="宋体" w:cs="宋体"/>
                <w:color w:val="000000"/>
                <w:sz w:val="15"/>
                <w:szCs w:val="21"/>
                <w:lang w:eastAsia="en-US"/>
              </w:rPr>
              <w:t>冷</w:t>
            </w:r>
          </w:p>
        </w:tc>
        <w:tc>
          <w:tcPr>
            <w:tcW w:w="2854" w:type="dxa"/>
            <w:tcBorders>
              <w:top w:val="single" w:color="000000" w:sz="4" w:space="0"/>
              <w:left w:val="single" w:color="000000" w:sz="4" w:space="0"/>
              <w:bottom w:val="single" w:color="000000" w:sz="4" w:space="0"/>
              <w:right w:val="single" w:color="000000" w:sz="4" w:space="0"/>
            </w:tcBorders>
            <w:vAlign w:val="top"/>
          </w:tcPr>
          <w:p>
            <w:pPr>
              <w:pStyle w:val="93"/>
              <w:spacing w:before="64" w:line="408" w:lineRule="auto"/>
              <w:ind w:left="103" w:right="100"/>
              <w:rPr>
                <w:rFonts w:ascii="Calibri" w:hAnsi="Calibri" w:eastAsia="宋体" w:cs="宋体"/>
                <w:color w:val="000000"/>
                <w:sz w:val="15"/>
                <w:szCs w:val="21"/>
                <w:lang w:eastAsia="zh-CN"/>
              </w:rPr>
            </w:pPr>
            <w:r>
              <w:rPr>
                <w:rFonts w:ascii="Calibri" w:hAnsi="Calibri" w:eastAsia="宋体" w:cs="宋体"/>
                <w:color w:val="000000"/>
                <w:sz w:val="15"/>
                <w:szCs w:val="21"/>
                <w:lang w:eastAsia="zh-CN"/>
              </w:rPr>
              <w:t>热加工车间、高照度</w:t>
            </w:r>
            <w:r>
              <w:rPr>
                <w:rFonts w:ascii="Calibri" w:hAnsi="Calibri" w:eastAsia="宋体" w:cs="宋体"/>
                <w:color w:val="000000"/>
                <w:spacing w:val="-85"/>
                <w:sz w:val="15"/>
                <w:szCs w:val="21"/>
                <w:lang w:eastAsia="zh-CN"/>
              </w:rPr>
              <w:t xml:space="preserve"> </w:t>
            </w:r>
            <w:r>
              <w:rPr>
                <w:rFonts w:ascii="Calibri" w:hAnsi="Calibri" w:eastAsia="宋体" w:cs="宋体"/>
                <w:color w:val="000000"/>
                <w:sz w:val="15"/>
                <w:szCs w:val="21"/>
                <w:lang w:eastAsia="zh-CN"/>
              </w:rPr>
              <w:t>场所</w:t>
            </w:r>
          </w:p>
        </w:tc>
      </w:tr>
    </w:tbl>
    <w:p>
      <w:pPr>
        <w:pStyle w:val="59"/>
        <w:spacing w:line="360" w:lineRule="exact"/>
        <w:ind w:firstLine="0" w:firstLineChars="0"/>
        <w:jc w:val="center"/>
        <w:rPr>
          <w:rFonts w:eastAsia="仿宋"/>
          <w:color w:val="000000"/>
          <w:sz w:val="21"/>
          <w:szCs w:val="21"/>
        </w:rPr>
      </w:pPr>
    </w:p>
    <w:p>
      <w:pPr>
        <w:pStyle w:val="59"/>
        <w:spacing w:line="360" w:lineRule="exact"/>
        <w:ind w:firstLine="420"/>
        <w:rPr>
          <w:rFonts w:eastAsia="仿宋"/>
          <w:color w:val="000000"/>
          <w:sz w:val="21"/>
          <w:szCs w:val="21"/>
        </w:rPr>
      </w:pPr>
      <w:r>
        <w:rPr>
          <w:rFonts w:hint="eastAsia" w:eastAsia="仿宋"/>
          <w:color w:val="000000"/>
          <w:sz w:val="21"/>
          <w:szCs w:val="21"/>
        </w:rPr>
        <w:t>光源的颜色外貌是指灯发射的光的表现颜色(灯的色品),光源的色表，它用光源的相关色温来表示。色表的选择与心理学，美学问题相关，它取决于照度、室内各表面和家具的颜色，气候环境和应用场所条件等因素。通常在低照度场所宜用暖色表，中等照度用中间色表,高照度用冷色表；另外在温暖气候条件下喜欢冷色表;而在寒冷条件下喜欢暖色表；一般情况下，采用中间色表适用场所仅列举了部分房间及工作场所，其他可参照CIE标准《室内工作场所照明)S008/E- 2001 执行。</w:t>
      </w:r>
    </w:p>
    <w:p>
      <w:pPr>
        <w:pStyle w:val="59"/>
        <w:spacing w:line="360" w:lineRule="exact"/>
        <w:ind w:firstLine="420"/>
        <w:rPr>
          <w:rFonts w:eastAsia="仿宋"/>
          <w:color w:val="000000"/>
          <w:sz w:val="21"/>
          <w:szCs w:val="21"/>
        </w:rPr>
      </w:pPr>
      <w:r>
        <w:rPr>
          <w:rFonts w:hint="eastAsia" w:eastAsia="仿宋"/>
          <w:color w:val="000000"/>
          <w:sz w:val="21"/>
          <w:szCs w:val="21"/>
        </w:rPr>
        <w:t>发光二极管灯用于室内照明具有很多特点和优势,在未来将有更大的发展。但目前发光二极管灯在性能的稳定性、一致性方而还存在一定的缺陷，相信随着照明技术的不断发展.产品将更加成熟。为了确保室内照明环境的质量，对应用于室内照明的发光二极管灯规定了技术要求。考虑到室内照明的舒适以及目前发光二极管灯光生物安全的考虑，国外的研究证明色温大于4000 K可具有光生物的不安全性,提出色温不宜高于4000K。如果光谱中红色部分较为缺乏，会导致光源复现的色域大大减小,也会导致照明场景呆板枯燥,从而影响照明环境质量。而这一问题对于蓝光激发黄光荧光粉发光的发光一极管灯问题尤为突出。如果不加限制势必会影响室内光环境质量,美国对于用于室内照明的发光二极管灯也限定其 般显色指数凡不低于80。</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本条的评价方法为:预评价阶段查阅相关设计文件，评价阶段查阅相关峻工资料,核查灯具厂家提供相关资料并现场核实。</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17</w:t>
      </w:r>
      <w:r>
        <w:rPr>
          <w:rFonts w:hint="eastAsia"/>
          <w:b/>
          <w:bCs/>
          <w:color w:val="000000"/>
          <w:sz w:val="21"/>
          <w:szCs w:val="21"/>
        </w:rPr>
        <w:t xml:space="preserve">  </w:t>
      </w:r>
      <w:r>
        <w:rPr>
          <w:rFonts w:hint="eastAsia"/>
          <w:bCs/>
          <w:color w:val="000000"/>
          <w:sz w:val="21"/>
          <w:szCs w:val="21"/>
        </w:rPr>
        <w:t>根据室内污染预评估和材料污染释放预测，合理优化室内装饰装修设计方案，评价总分值为</w:t>
      </w:r>
      <w:r>
        <w:rPr>
          <w:bCs/>
          <w:color w:val="000000"/>
          <w:sz w:val="21"/>
          <w:szCs w:val="21"/>
        </w:rPr>
        <w:t>6</w:t>
      </w:r>
      <w:r>
        <w:rPr>
          <w:rFonts w:hint="eastAsia"/>
          <w:bCs/>
          <w:color w:val="000000"/>
          <w:sz w:val="21"/>
          <w:szCs w:val="21"/>
        </w:rPr>
        <w:t>分，并按下列规则分别评分并累计：</w:t>
      </w:r>
    </w:p>
    <w:p>
      <w:pPr>
        <w:pStyle w:val="59"/>
        <w:spacing w:line="360" w:lineRule="exact"/>
        <w:ind w:firstLine="422"/>
        <w:rPr>
          <w:bCs/>
          <w:color w:val="000000"/>
          <w:sz w:val="21"/>
          <w:szCs w:val="21"/>
        </w:rPr>
      </w:pPr>
      <w:r>
        <w:rPr>
          <w:b/>
          <w:bCs/>
          <w:color w:val="000000"/>
          <w:sz w:val="21"/>
          <w:szCs w:val="21"/>
        </w:rPr>
        <w:t>1 </w:t>
      </w:r>
      <w:r>
        <w:rPr>
          <w:bCs/>
          <w:color w:val="000000"/>
          <w:sz w:val="21"/>
          <w:szCs w:val="21"/>
        </w:rPr>
        <w:t> </w:t>
      </w:r>
      <w:r>
        <w:rPr>
          <w:rFonts w:hint="eastAsia"/>
          <w:bCs/>
          <w:color w:val="000000"/>
          <w:sz w:val="21"/>
          <w:szCs w:val="21"/>
        </w:rPr>
        <w:t>控制室内主要污染源材料的种类和用量，得</w:t>
      </w:r>
      <w:r>
        <w:rPr>
          <w:bCs/>
          <w:color w:val="000000"/>
          <w:sz w:val="21"/>
          <w:szCs w:val="21"/>
        </w:rPr>
        <w:t>2</w:t>
      </w:r>
      <w:r>
        <w:rPr>
          <w:rFonts w:hint="eastAsia"/>
          <w:bCs/>
          <w:color w:val="000000"/>
          <w:sz w:val="21"/>
          <w:szCs w:val="21"/>
        </w:rPr>
        <w:t>分；</w:t>
      </w:r>
    </w:p>
    <w:p>
      <w:pPr>
        <w:pStyle w:val="59"/>
        <w:spacing w:line="360" w:lineRule="exact"/>
        <w:ind w:firstLine="422"/>
        <w:rPr>
          <w:bCs/>
          <w:color w:val="000000"/>
          <w:sz w:val="21"/>
          <w:szCs w:val="21"/>
        </w:rPr>
      </w:pPr>
      <w:r>
        <w:rPr>
          <w:b/>
          <w:bCs/>
          <w:color w:val="000000"/>
          <w:sz w:val="21"/>
          <w:szCs w:val="21"/>
        </w:rPr>
        <w:t>2</w:t>
      </w:r>
      <w:r>
        <w:rPr>
          <w:bCs/>
          <w:color w:val="000000"/>
          <w:sz w:val="21"/>
          <w:szCs w:val="21"/>
        </w:rPr>
        <w:t>  </w:t>
      </w:r>
      <w:r>
        <w:rPr>
          <w:rFonts w:hint="eastAsia"/>
          <w:bCs/>
          <w:color w:val="000000"/>
          <w:sz w:val="21"/>
          <w:szCs w:val="21"/>
        </w:rPr>
        <w:t>替换至少</w:t>
      </w:r>
      <w:r>
        <w:rPr>
          <w:bCs/>
          <w:color w:val="000000"/>
          <w:sz w:val="21"/>
          <w:szCs w:val="21"/>
        </w:rPr>
        <w:t>1</w:t>
      </w:r>
      <w:r>
        <w:rPr>
          <w:rFonts w:hint="eastAsia"/>
          <w:bCs/>
          <w:color w:val="000000"/>
          <w:sz w:val="21"/>
          <w:szCs w:val="21"/>
        </w:rPr>
        <w:t>种主要污染源材料，得</w:t>
      </w:r>
      <w:r>
        <w:rPr>
          <w:bCs/>
          <w:color w:val="000000"/>
          <w:sz w:val="21"/>
          <w:szCs w:val="21"/>
        </w:rPr>
        <w:t>2</w:t>
      </w:r>
      <w:r>
        <w:rPr>
          <w:rFonts w:hint="eastAsia"/>
          <w:bCs/>
          <w:color w:val="000000"/>
          <w:sz w:val="21"/>
          <w:szCs w:val="21"/>
        </w:rPr>
        <w:t>分；</w:t>
      </w:r>
    </w:p>
    <w:p>
      <w:pPr>
        <w:pStyle w:val="59"/>
        <w:spacing w:line="360" w:lineRule="exact"/>
        <w:ind w:firstLine="420" w:firstLineChars="0"/>
        <w:rPr>
          <w:bCs/>
          <w:color w:val="000000"/>
          <w:sz w:val="21"/>
          <w:szCs w:val="21"/>
        </w:rPr>
      </w:pPr>
      <w:r>
        <w:rPr>
          <w:b/>
          <w:bCs/>
          <w:color w:val="000000"/>
          <w:sz w:val="21"/>
          <w:szCs w:val="21"/>
        </w:rPr>
        <w:t>3 </w:t>
      </w:r>
      <w:r>
        <w:rPr>
          <w:bCs/>
          <w:color w:val="000000"/>
          <w:sz w:val="21"/>
          <w:szCs w:val="21"/>
        </w:rPr>
        <w:t> </w:t>
      </w:r>
      <w:r>
        <w:rPr>
          <w:rFonts w:hint="eastAsia"/>
          <w:bCs/>
          <w:color w:val="000000"/>
          <w:sz w:val="21"/>
          <w:szCs w:val="21"/>
        </w:rPr>
        <w:t>采取增加自然通风或增大新风量等有效措施，减少空气污染物浓度，得</w:t>
      </w:r>
      <w:r>
        <w:rPr>
          <w:bCs/>
          <w:color w:val="000000"/>
          <w:sz w:val="21"/>
          <w:szCs w:val="21"/>
        </w:rPr>
        <w:t>2</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17</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为避免过度装修导致的空气污染物法度超标。在进行室内装修设计时，宜进行室内污染预评估和材料污染释放预测。设计时根据室内装修设计方案和空间承载量材料的使用量室内新风量等因素。对最大限度能够使用的各种材料的数量做出预测。根据设计方案的内容.分析、预测建成后存在的危害室内环境质量因素的种类和危害程度，提出科学、合理和可行的技术对策措施，作为该工程项目改善设计方案和项目建筑材料供应的主要依据。</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本条的评价方法为:预评价提供优化设计方案图纸和文件，评价提供优化设计方案图纸和文件、材料用量。</w:t>
      </w:r>
    </w:p>
    <w:p>
      <w:pPr>
        <w:pStyle w:val="59"/>
        <w:spacing w:line="360" w:lineRule="exact"/>
        <w:ind w:firstLine="0" w:firstLineChars="0"/>
        <w:rPr>
          <w:bCs/>
          <w:color w:val="000000"/>
          <w:sz w:val="21"/>
          <w:szCs w:val="21"/>
        </w:rPr>
      </w:pPr>
      <w:r>
        <w:rPr>
          <w:rFonts w:hint="eastAsia"/>
          <w:b/>
          <w:bCs/>
          <w:color w:val="000000"/>
          <w:sz w:val="21"/>
          <w:szCs w:val="21"/>
        </w:rPr>
        <w:t>4.2.</w:t>
      </w:r>
      <w:r>
        <w:rPr>
          <w:b/>
          <w:bCs/>
          <w:color w:val="000000"/>
          <w:sz w:val="21"/>
          <w:szCs w:val="21"/>
        </w:rPr>
        <w:t>18</w:t>
      </w:r>
      <w:r>
        <w:rPr>
          <w:rFonts w:hint="eastAsia"/>
          <w:b/>
          <w:bCs/>
          <w:color w:val="000000"/>
          <w:sz w:val="21"/>
          <w:szCs w:val="21"/>
        </w:rPr>
        <w:t xml:space="preserve">  </w:t>
      </w:r>
      <w:r>
        <w:rPr>
          <w:bCs/>
          <w:color w:val="000000"/>
          <w:sz w:val="21"/>
          <w:szCs w:val="21"/>
        </w:rPr>
        <w:t>具有良好的室内热湿环境，评价总分值为8分，并按下列规则评分：</w:t>
      </w:r>
    </w:p>
    <w:p>
      <w:pPr>
        <w:pStyle w:val="59"/>
        <w:spacing w:line="360" w:lineRule="exact"/>
        <w:ind w:firstLine="422"/>
        <w:rPr>
          <w:bCs/>
          <w:color w:val="000000"/>
          <w:sz w:val="21"/>
          <w:szCs w:val="21"/>
        </w:rPr>
      </w:pPr>
      <w:r>
        <w:rPr>
          <w:rFonts w:hint="eastAsia"/>
          <w:b/>
          <w:bCs/>
          <w:color w:val="000000"/>
          <w:sz w:val="21"/>
          <w:szCs w:val="21"/>
        </w:rPr>
        <w:t>1</w:t>
      </w:r>
      <w:r>
        <w:rPr>
          <w:b/>
          <w:bCs/>
          <w:color w:val="000000"/>
          <w:sz w:val="21"/>
          <w:szCs w:val="21"/>
        </w:rPr>
        <w:t xml:space="preserve"> </w:t>
      </w:r>
      <w:r>
        <w:rPr>
          <w:bCs/>
          <w:color w:val="000000"/>
          <w:sz w:val="21"/>
          <w:szCs w:val="21"/>
        </w:rPr>
        <w:t xml:space="preserve"> </w:t>
      </w:r>
      <w:r>
        <w:rPr>
          <w:rFonts w:hint="eastAsia"/>
          <w:bCs/>
          <w:color w:val="000000"/>
          <w:sz w:val="21"/>
          <w:szCs w:val="21"/>
        </w:rPr>
        <w:t>采用自然通风或复合通风的建筑，建筑主要功能房间室内热环境参数在适应性热舒适区域的时间比例，达到30%，得2分；每再增加10%，再得1分，最高得8分。</w:t>
      </w:r>
    </w:p>
    <w:p>
      <w:pPr>
        <w:pStyle w:val="59"/>
        <w:spacing w:line="360" w:lineRule="exact"/>
        <w:ind w:firstLine="422"/>
        <w:rPr>
          <w:bCs/>
          <w:color w:val="000000"/>
          <w:sz w:val="21"/>
          <w:szCs w:val="21"/>
        </w:rPr>
      </w:pPr>
      <w:r>
        <w:rPr>
          <w:rFonts w:hint="eastAsia"/>
          <w:b/>
          <w:bCs/>
          <w:color w:val="000000"/>
          <w:sz w:val="21"/>
          <w:szCs w:val="21"/>
        </w:rPr>
        <w:t>2</w:t>
      </w:r>
      <w:r>
        <w:rPr>
          <w:b/>
          <w:bCs/>
          <w:color w:val="000000"/>
          <w:sz w:val="21"/>
          <w:szCs w:val="21"/>
        </w:rPr>
        <w:t xml:space="preserve"> </w:t>
      </w:r>
      <w:r>
        <w:rPr>
          <w:bCs/>
          <w:color w:val="000000"/>
          <w:sz w:val="21"/>
          <w:szCs w:val="21"/>
        </w:rPr>
        <w:t xml:space="preserve"> </w:t>
      </w:r>
      <w:r>
        <w:rPr>
          <w:rFonts w:hint="eastAsia"/>
          <w:bCs/>
          <w:color w:val="000000"/>
          <w:sz w:val="21"/>
          <w:szCs w:val="21"/>
        </w:rPr>
        <w:t>采用人工冷热源的建筑，主要功能房间达到现行国家标准《民用建筑室内热湿环境评价标准》GB/T50785规定的室内人工冷热源热湿环境整体评价Ⅱ级的面积比例，达到60%，得5分；每再增加10%，再得1分，最高得8分。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18</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第1款，对于采用自然通风或复合通风的建筑，本条款以建筑物内主要功能房间或区域为对象，以全年建筑运行时间为评价时间范围，按主要功能房间或区域的面积加权计算满足适应性热舒适区间的时间百分比进行评分。该条款关注的是建筑适应性热舒适设计，强调建筑中人不是环境的被动接受者，而是能够进行自我调节的适应者，人们会通过改变着装、行为或逐步调整自己的反应以适应复杂的环境变化，从而接受较大范围的室内温度。此外，营造动态而非恒定不变的室内环境，有利于维持人体对热环境的应激能力，改善使用者舒适感与身体健康。本条款要求从动态热环境和适应性热舒适角度，对室内热湿环境进行设计优化，强化自然通风、复合通风，合理拓宽室内热湿环境设计参数，鼓励设计中允许室内人员对外窗、风扇等装置进行自由调节。</w:t>
      </w:r>
    </w:p>
    <w:p>
      <w:pPr>
        <w:pStyle w:val="59"/>
        <w:spacing w:line="360" w:lineRule="exact"/>
        <w:ind w:firstLine="420"/>
        <w:rPr>
          <w:rFonts w:eastAsia="仿宋"/>
          <w:color w:val="000000"/>
          <w:sz w:val="21"/>
          <w:szCs w:val="21"/>
        </w:rPr>
      </w:pPr>
      <w:r>
        <w:rPr>
          <w:rFonts w:hint="eastAsia" w:eastAsia="仿宋"/>
          <w:color w:val="000000"/>
          <w:sz w:val="21"/>
          <w:szCs w:val="21"/>
        </w:rPr>
        <w:t>第2款，人工冷热源热湿环境整体评价指标应包括预计平均热感觉指标（PMV）和预计不满意者的百分数（PPD），PMV-</w:t>
      </w:r>
    </w:p>
    <w:p>
      <w:pPr>
        <w:pStyle w:val="59"/>
        <w:spacing w:line="360" w:lineRule="exact"/>
        <w:ind w:firstLine="0" w:firstLineChars="0"/>
        <w:jc w:val="left"/>
        <w:rPr>
          <w:rFonts w:eastAsia="仿宋"/>
          <w:color w:val="000000"/>
          <w:sz w:val="21"/>
          <w:szCs w:val="21"/>
        </w:rPr>
      </w:pPr>
      <w:r>
        <w:rPr>
          <w:rFonts w:hint="eastAsia" w:eastAsia="仿宋"/>
          <w:color w:val="000000"/>
          <w:sz w:val="21"/>
          <w:szCs w:val="21"/>
        </w:rPr>
        <w:t>PPD的计算程序应按国家标准《民用建筑室内热湿环境评价标准》GB/T50785-2012附录E的规定执行。本款以建筑物内主要功能房间或区域为对象，以达标面积比例为评价依据。对于同时存在自然通风、复合通风和人工冷源的建筑，应分别计算不同功能房间室内热环境对应第1、2款的达标情况，按面积加权进行评分。</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本条的评价方法为：预评价查阅相关设计文件、计算分析报告；评价查阅相关竣工图、计算分析报告。</w:t>
      </w:r>
    </w:p>
    <w:p>
      <w:pPr>
        <w:pStyle w:val="59"/>
        <w:spacing w:line="360" w:lineRule="exact"/>
        <w:ind w:firstLine="0" w:firstLineChars="0"/>
        <w:rPr>
          <w:bCs/>
          <w:color w:val="000000"/>
          <w:sz w:val="21"/>
          <w:szCs w:val="21"/>
        </w:rPr>
      </w:pPr>
      <w:r>
        <w:rPr>
          <w:rFonts w:hint="eastAsia"/>
          <w:b/>
          <w:bCs/>
          <w:color w:val="000000"/>
          <w:sz w:val="21"/>
          <w:szCs w:val="21"/>
        </w:rPr>
        <w:t>4</w:t>
      </w:r>
      <w:r>
        <w:rPr>
          <w:b/>
          <w:bCs/>
          <w:color w:val="000000"/>
          <w:sz w:val="21"/>
          <w:szCs w:val="21"/>
        </w:rPr>
        <w:t>.2.19</w:t>
      </w:r>
      <w:r>
        <w:rPr>
          <w:rFonts w:hint="eastAsia"/>
          <w:bCs/>
          <w:color w:val="000000"/>
          <w:sz w:val="21"/>
          <w:szCs w:val="21"/>
        </w:rPr>
        <w:t>设置可调节遮阳设施，改善室内热舒适，评价总分值为9分，根据可调节遮阳设施的面积占外窗透明部分的比例按表</w:t>
      </w:r>
      <w:r>
        <w:rPr>
          <w:bCs/>
          <w:color w:val="000000"/>
          <w:sz w:val="21"/>
          <w:szCs w:val="21"/>
        </w:rPr>
        <w:t>4.2.18</w:t>
      </w:r>
      <w:r>
        <w:rPr>
          <w:rFonts w:hint="eastAsia"/>
          <w:bCs/>
          <w:color w:val="000000"/>
          <w:sz w:val="21"/>
          <w:szCs w:val="21"/>
        </w:rPr>
        <w:t>的规则评分。</w:t>
      </w:r>
    </w:p>
    <w:p>
      <w:pPr>
        <w:pStyle w:val="59"/>
        <w:spacing w:line="360" w:lineRule="exact"/>
        <w:ind w:firstLine="0" w:firstLineChars="0"/>
        <w:jc w:val="center"/>
        <w:rPr>
          <w:rFonts w:eastAsia="黑体" w:cs="黑体"/>
          <w:bCs/>
          <w:color w:val="000000"/>
          <w:sz w:val="18"/>
          <w:szCs w:val="18"/>
        </w:rPr>
      </w:pPr>
      <w:r>
        <w:rPr>
          <w:rFonts w:hint="eastAsia" w:eastAsia="黑体" w:cs="黑体"/>
          <w:bCs/>
          <w:color w:val="000000"/>
          <w:sz w:val="18"/>
          <w:szCs w:val="18"/>
        </w:rPr>
        <w:t>表4.2.</w:t>
      </w:r>
      <w:r>
        <w:rPr>
          <w:rFonts w:eastAsia="黑体" w:cs="黑体"/>
          <w:bCs/>
          <w:color w:val="000000"/>
          <w:sz w:val="18"/>
          <w:szCs w:val="18"/>
        </w:rPr>
        <w:t>18</w:t>
      </w:r>
      <w:r>
        <w:rPr>
          <w:rFonts w:hint="eastAsia" w:eastAsia="黑体" w:cs="黑体"/>
          <w:bCs/>
          <w:color w:val="000000"/>
          <w:sz w:val="18"/>
          <w:szCs w:val="18"/>
        </w:rPr>
        <w:t xml:space="preserve">  可调节遮阳设施的面积占外窗透明部分比例评分规则</w:t>
      </w:r>
    </w:p>
    <w:tbl>
      <w:tblPr>
        <w:tblStyle w:val="55"/>
        <w:tblW w:w="59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4638"/>
        <w:gridCol w:w="1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463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rFonts w:hint="eastAsia"/>
                <w:color w:val="000000"/>
                <w:sz w:val="15"/>
                <w:szCs w:val="15"/>
              </w:rPr>
              <w:t>可调节遮阳设施的面积占外窗透明部分比例</w:t>
            </w:r>
            <w:r>
              <w:rPr>
                <w:color w:val="000000"/>
                <w:sz w:val="15"/>
                <w:szCs w:val="15"/>
              </w:rPr>
              <w:t>Sz</w:t>
            </w:r>
          </w:p>
        </w:tc>
        <w:tc>
          <w:tcPr>
            <w:tcW w:w="126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463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25％≤Sz＜35％</w:t>
            </w:r>
          </w:p>
        </w:tc>
        <w:tc>
          <w:tcPr>
            <w:tcW w:w="126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463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35％≤Sz＜45％</w:t>
            </w:r>
          </w:p>
        </w:tc>
        <w:tc>
          <w:tcPr>
            <w:tcW w:w="126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80" w:hRule="exact"/>
        </w:trPr>
        <w:tc>
          <w:tcPr>
            <w:tcW w:w="463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45％≤Sz＜55％</w:t>
            </w:r>
          </w:p>
        </w:tc>
        <w:tc>
          <w:tcPr>
            <w:tcW w:w="126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463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Sz≥55％</w:t>
            </w:r>
          </w:p>
        </w:tc>
        <w:tc>
          <w:tcPr>
            <w:tcW w:w="1268" w:type="dxa"/>
            <w:tcBorders>
              <w:top w:val="single" w:color="000000" w:sz="4" w:space="0"/>
              <w:left w:val="single" w:color="000000" w:sz="4" w:space="0"/>
              <w:bottom w:val="single" w:color="000000" w:sz="4" w:space="0"/>
              <w:right w:val="single" w:color="000000" w:sz="4" w:space="0"/>
            </w:tcBorders>
            <w:vAlign w:val="top"/>
          </w:tcPr>
          <w:p>
            <w:pPr>
              <w:spacing w:line="240" w:lineRule="exact"/>
              <w:jc w:val="center"/>
              <w:rPr>
                <w:color w:val="000000"/>
                <w:sz w:val="15"/>
                <w:szCs w:val="15"/>
              </w:rPr>
            </w:pPr>
            <w:r>
              <w:rPr>
                <w:color w:val="000000"/>
                <w:sz w:val="15"/>
                <w:szCs w:val="15"/>
              </w:rPr>
              <w:t>9</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4.2.</w:t>
      </w:r>
      <w:r>
        <w:rPr>
          <w:b/>
          <w:bCs/>
          <w:color w:val="000000"/>
          <w:sz w:val="21"/>
          <w:szCs w:val="21"/>
        </w:rPr>
        <w:t>19</w:t>
      </w:r>
      <w:r>
        <w:rPr>
          <w:rFonts w:hint="eastAsia" w:eastAsia="仿宋"/>
          <w:color w:val="000000"/>
          <w:sz w:val="21"/>
          <w:szCs w:val="21"/>
        </w:rPr>
        <w:t xml:space="preserve"> 本条适用于各类民用建筑的预评价、评价。严寒地区、全年空调度日数(CDD26) 值小于</w:t>
      </w:r>
      <w:r>
        <w:rPr>
          <w:rFonts w:eastAsia="仿宋"/>
          <w:color w:val="000000"/>
          <w:sz w:val="21"/>
          <w:szCs w:val="21"/>
        </w:rPr>
        <w:t xml:space="preserve">l0°C </w:t>
      </w:r>
      <w:r>
        <w:rPr>
          <w:rFonts w:eastAsia="微软雅黑"/>
          <w:color w:val="000000"/>
          <w:sz w:val="21"/>
          <w:szCs w:val="21"/>
        </w:rPr>
        <w:t>•</w:t>
      </w:r>
      <w:r>
        <w:rPr>
          <w:rFonts w:eastAsia="仿宋"/>
          <w:color w:val="000000"/>
          <w:sz w:val="21"/>
          <w:szCs w:val="21"/>
        </w:rPr>
        <w:t xml:space="preserve"> d </w:t>
      </w:r>
      <w:r>
        <w:rPr>
          <w:rFonts w:hint="eastAsia" w:eastAsia="仿宋"/>
          <w:color w:val="000000"/>
          <w:sz w:val="21"/>
          <w:szCs w:val="21"/>
        </w:rPr>
        <w:t>的寒冷地区的建筑，本条可直接得分。</w:t>
      </w:r>
    </w:p>
    <w:p>
      <w:pPr>
        <w:pStyle w:val="59"/>
        <w:spacing w:line="360" w:lineRule="exact"/>
        <w:ind w:firstLine="420"/>
        <w:rPr>
          <w:rFonts w:eastAsia="仿宋"/>
          <w:color w:val="000000"/>
          <w:sz w:val="21"/>
          <w:szCs w:val="21"/>
        </w:rPr>
      </w:pPr>
      <w:r>
        <w:rPr>
          <w:rFonts w:hint="eastAsia" w:eastAsia="仿宋"/>
          <w:color w:val="000000"/>
          <w:sz w:val="21"/>
          <w:szCs w:val="21"/>
        </w:rPr>
        <w:t>本条所述的可调节遮阳设施包括活动外遮阳设施（含电致变色玻璃）、中置可调遮阳设施（中空玻璃夹层可调内遮阳）、固定外遮阳（含建筑自遮阳）加内部高反射率（全波段太阳辐射反射率大于0.50)可调节遮阳设施、可调内遮阳设施等。</w:t>
      </w:r>
    </w:p>
    <w:p>
      <w:pPr>
        <w:pStyle w:val="59"/>
        <w:spacing w:line="360" w:lineRule="exact"/>
        <w:ind w:firstLine="420"/>
        <w:rPr>
          <w:rFonts w:eastAsia="仿宋"/>
          <w:color w:val="000000"/>
          <w:sz w:val="21"/>
          <w:szCs w:val="21"/>
        </w:rPr>
      </w:pPr>
      <w:r>
        <w:rPr>
          <w:rFonts w:hint="eastAsia" w:eastAsia="仿宋"/>
          <w:color w:val="000000"/>
          <w:sz w:val="21"/>
          <w:szCs w:val="21"/>
        </w:rPr>
        <w:t>遮阳设施的面积占外窗透明部分比例Sz 按下式计算：</w:t>
      </w:r>
    </w:p>
    <w:p>
      <w:pPr>
        <w:pStyle w:val="59"/>
        <w:spacing w:line="360" w:lineRule="exact"/>
        <w:ind w:firstLine="420"/>
        <w:jc w:val="center"/>
        <w:rPr>
          <w:rFonts w:eastAsia="仿宋"/>
          <w:color w:val="000000"/>
          <w:sz w:val="21"/>
          <w:szCs w:val="21"/>
        </w:rPr>
      </w:pPr>
      <w:r>
        <w:rPr>
          <w:rFonts w:eastAsia="仿宋"/>
          <w:color w:val="000000"/>
          <w:sz w:val="21"/>
          <w:szCs w:val="21"/>
        </w:rPr>
        <w:t>S</w:t>
      </w:r>
      <w:r>
        <w:rPr>
          <w:rFonts w:eastAsia="仿宋"/>
          <w:color w:val="000000"/>
          <w:sz w:val="21"/>
          <w:szCs w:val="21"/>
          <w:vertAlign w:val="subscript"/>
        </w:rPr>
        <w:t>z</w:t>
      </w:r>
      <w:r>
        <w:rPr>
          <w:rFonts w:eastAsia="仿宋"/>
          <w:color w:val="000000"/>
          <w:sz w:val="21"/>
          <w:szCs w:val="21"/>
        </w:rPr>
        <w:t xml:space="preserve"> == S</w:t>
      </w:r>
      <w:r>
        <w:rPr>
          <w:rFonts w:eastAsia="仿宋"/>
          <w:color w:val="000000"/>
          <w:sz w:val="21"/>
          <w:szCs w:val="21"/>
          <w:vertAlign w:val="subscript"/>
        </w:rPr>
        <w:t>z0</w:t>
      </w:r>
      <w:r>
        <w:rPr>
          <w:rFonts w:eastAsia="仿宋"/>
          <w:color w:val="000000"/>
          <w:sz w:val="21"/>
          <w:szCs w:val="21"/>
        </w:rPr>
        <w:t xml:space="preserve"> * η    (1)</w:t>
      </w:r>
    </w:p>
    <w:p>
      <w:pPr>
        <w:pStyle w:val="59"/>
        <w:spacing w:line="360" w:lineRule="exact"/>
        <w:ind w:firstLine="420"/>
        <w:rPr>
          <w:rFonts w:eastAsia="仿宋"/>
          <w:color w:val="000000"/>
          <w:sz w:val="21"/>
          <w:szCs w:val="21"/>
        </w:rPr>
      </w:pPr>
      <w:r>
        <w:rPr>
          <w:rFonts w:hint="eastAsia" w:eastAsia="仿宋"/>
          <w:color w:val="000000"/>
          <w:sz w:val="21"/>
          <w:szCs w:val="21"/>
        </w:rPr>
        <w:t>式中：η--遮阳方式修正系数，对于活动外遮阳设施，η为1.2；对于中置可调遮阳设施，η为1；对于固定外遮阳加内部高反射率可调节遮阳设施，η为0.8；对于可调内遮阳设施，η为0.6；</w:t>
      </w:r>
    </w:p>
    <w:p>
      <w:pPr>
        <w:pStyle w:val="59"/>
        <w:spacing w:line="360" w:lineRule="exact"/>
        <w:ind w:firstLine="420"/>
        <w:rPr>
          <w:rFonts w:eastAsia="仿宋"/>
          <w:color w:val="000000"/>
          <w:sz w:val="21"/>
          <w:szCs w:val="21"/>
        </w:rPr>
      </w:pPr>
      <w:r>
        <w:rPr>
          <w:rFonts w:hint="eastAsia" w:eastAsia="仿宋"/>
          <w:color w:val="000000"/>
          <w:sz w:val="21"/>
          <w:szCs w:val="21"/>
        </w:rPr>
        <w:t>S</w:t>
      </w:r>
      <w:r>
        <w:rPr>
          <w:rFonts w:hint="eastAsia" w:eastAsia="仿宋"/>
          <w:color w:val="000000"/>
          <w:sz w:val="21"/>
          <w:szCs w:val="21"/>
          <w:vertAlign w:val="subscript"/>
        </w:rPr>
        <w:t>z0</w:t>
      </w:r>
      <w:r>
        <w:rPr>
          <w:rFonts w:hint="eastAsia" w:eastAsia="仿宋"/>
          <w:color w:val="000000"/>
          <w:sz w:val="21"/>
          <w:szCs w:val="21"/>
        </w:rPr>
        <w:t>--遮阳设施应用面积比例。活动外遮阳、中置可调遮阳和可调内遮阳设施，可直接取其应用外窗的比例，即装置遮阳设施外窗面积占所有外窗面积的比例；对于固定外遮阳加内部高反射率可调节遮阳设施，按大暑日9: 00-17: 00 之间所有整点时刻其有效遮阳面积比例平均值进行计算，即该期间所有整点时刻其在所有外窗的投影面积占所有外窗面积比例的平均值。</w:t>
      </w:r>
    </w:p>
    <w:p>
      <w:pPr>
        <w:pStyle w:val="59"/>
        <w:spacing w:line="360" w:lineRule="exact"/>
        <w:ind w:firstLine="420"/>
        <w:rPr>
          <w:rFonts w:eastAsia="仿宋"/>
          <w:color w:val="000000"/>
          <w:sz w:val="21"/>
          <w:szCs w:val="21"/>
        </w:rPr>
      </w:pPr>
      <w:r>
        <w:rPr>
          <w:rFonts w:hint="eastAsia" w:eastAsia="仿宋"/>
          <w:color w:val="000000"/>
          <w:sz w:val="21"/>
          <w:szCs w:val="21"/>
        </w:rPr>
        <w:t>对于按照大暑日9: 00-17: 00 之间整点时刻没有阳光直射的透明围护结构，不计入计算。</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本条的评价方法为：预评价查阅相关设计文件、产品说明书、计算书；评价查阅相关竣工图、产品说明书、计算书。</w:t>
      </w:r>
    </w:p>
    <w:p>
      <w:pPr>
        <w:pStyle w:val="59"/>
        <w:spacing w:line="360" w:lineRule="exact"/>
        <w:ind w:firstLine="0" w:firstLineChars="0"/>
        <w:rPr>
          <w:bCs/>
          <w:color w:val="000000"/>
          <w:sz w:val="21"/>
          <w:szCs w:val="21"/>
        </w:rPr>
      </w:pPr>
      <w:r>
        <w:rPr>
          <w:rFonts w:hint="eastAsia"/>
          <w:b/>
          <w:bCs/>
          <w:color w:val="000000"/>
          <w:sz w:val="21"/>
          <w:szCs w:val="21"/>
        </w:rPr>
        <w:t>4</w:t>
      </w:r>
      <w:r>
        <w:rPr>
          <w:b/>
          <w:bCs/>
          <w:color w:val="000000"/>
          <w:sz w:val="21"/>
          <w:szCs w:val="21"/>
        </w:rPr>
        <w:t>.2.20</w:t>
      </w:r>
      <w:r>
        <w:rPr>
          <w:rFonts w:hint="eastAsia"/>
          <w:b/>
          <w:bCs/>
          <w:color w:val="000000"/>
          <w:sz w:val="21"/>
          <w:szCs w:val="21"/>
        </w:rPr>
        <w:t xml:space="preserve">  </w:t>
      </w:r>
      <w:r>
        <w:rPr>
          <w:rFonts w:hint="eastAsia"/>
          <w:bCs/>
          <w:color w:val="000000"/>
          <w:sz w:val="21"/>
          <w:szCs w:val="21"/>
        </w:rPr>
        <w:t>充分考虑残疾人、老年人的使用和进出方便，体现室内人性化环境，室内装饰装修设计满足现行国家标准《无障碍设计规范》GB 50763的规定要求，评价分值为</w:t>
      </w:r>
      <w:r>
        <w:rPr>
          <w:bCs/>
          <w:color w:val="000000"/>
          <w:sz w:val="21"/>
          <w:szCs w:val="21"/>
        </w:rPr>
        <w:t>8</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60" w:lineRule="exact"/>
        <w:ind w:firstLine="0" w:firstLineChars="0"/>
        <w:rPr>
          <w:rFonts w:eastAsia="仿宋"/>
          <w:color w:val="000000"/>
          <w:sz w:val="21"/>
          <w:szCs w:val="21"/>
        </w:rPr>
      </w:pPr>
      <w:r>
        <w:rPr>
          <w:rFonts w:hint="eastAsia"/>
          <w:b/>
          <w:bCs/>
          <w:color w:val="000000"/>
          <w:sz w:val="21"/>
          <w:szCs w:val="21"/>
        </w:rPr>
        <w:t>4</w:t>
      </w:r>
      <w:r>
        <w:rPr>
          <w:b/>
          <w:bCs/>
          <w:color w:val="000000"/>
          <w:sz w:val="21"/>
          <w:szCs w:val="21"/>
        </w:rPr>
        <w:t>.2.20</w:t>
      </w:r>
      <w:r>
        <w:rPr>
          <w:rFonts w:hint="eastAsia"/>
          <w:b/>
          <w:bCs/>
          <w:color w:val="000000"/>
          <w:sz w:val="21"/>
          <w:szCs w:val="21"/>
        </w:rPr>
        <w:t xml:space="preserve">  </w:t>
      </w:r>
      <w:r>
        <w:rPr>
          <w:rFonts w:hint="eastAsia" w:eastAsia="仿宋"/>
          <w:color w:val="000000"/>
          <w:sz w:val="21"/>
          <w:szCs w:val="21"/>
        </w:rPr>
        <w:t>本条适用于各类民用建筑全装修的预评价、评价。</w:t>
      </w:r>
    </w:p>
    <w:p>
      <w:pPr>
        <w:pStyle w:val="59"/>
        <w:spacing w:line="360" w:lineRule="exact"/>
        <w:ind w:firstLine="420"/>
        <w:rPr>
          <w:rFonts w:eastAsia="仿宋"/>
          <w:color w:val="000000"/>
          <w:sz w:val="21"/>
          <w:szCs w:val="21"/>
        </w:rPr>
      </w:pPr>
      <w:r>
        <w:rPr>
          <w:rFonts w:hint="eastAsia" w:eastAsia="仿宋"/>
          <w:color w:val="000000"/>
          <w:sz w:val="21"/>
          <w:szCs w:val="21"/>
        </w:rPr>
        <w:t>人性化的关怀是绿色室内装饰装修的内容之一，无障碍设计是室内设计及环境设计的重要组成部分，是保障各类人群出行的基本设施，不应改变成降低原建筑设计中无障碍设计的标准和要求。室内设计要保证室内具备健全的无障碍交通和使用设施，并满是现行设计规范的要求，室内设计在公共过道、连续通道地面高差、缓坡设置、墙柱面的装饰面和卫生间以及厨房设计等方面应满足《无障碍设计规范》GB 50763.《养老设施建筑设计规范》GB 50867、《老年人建筑设计规范》101188 的要求，室内无障碍交通与设施健全，且与建筑室外人行通道无障得连通。</w:t>
      </w:r>
    </w:p>
    <w:p>
      <w:pPr>
        <w:pStyle w:val="59"/>
        <w:spacing w:line="360" w:lineRule="exact"/>
        <w:ind w:firstLine="420"/>
        <w:rPr>
          <w:rFonts w:eastAsia="仿宋"/>
          <w:color w:val="000000"/>
          <w:sz w:val="21"/>
          <w:szCs w:val="21"/>
        </w:rPr>
      </w:pPr>
      <w:r>
        <w:rPr>
          <w:rFonts w:hint="eastAsia" w:eastAsia="仿宋"/>
          <w:color w:val="000000"/>
          <w:sz w:val="21"/>
          <w:szCs w:val="21"/>
        </w:rPr>
        <w:t>本条的评价方法为:预评价阶段审核相关设计文件并现场核实；评价现场复核确保无障碍通道的正常使用。</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Ⅲ  资源节约</w:t>
      </w:r>
    </w:p>
    <w:p>
      <w:pPr>
        <w:widowControl/>
        <w:spacing w:line="380" w:lineRule="exact"/>
        <w:rPr>
          <w:bCs/>
          <w:color w:val="000000"/>
          <w:szCs w:val="21"/>
        </w:rPr>
      </w:pPr>
      <w:r>
        <w:rPr>
          <w:rFonts w:hint="eastAsia"/>
          <w:b/>
          <w:bCs/>
          <w:color w:val="000000"/>
        </w:rPr>
        <w:t>4.2.</w:t>
      </w:r>
      <w:r>
        <w:rPr>
          <w:b/>
          <w:bCs/>
          <w:color w:val="000000"/>
        </w:rPr>
        <w:t>21</w:t>
      </w:r>
      <w:r>
        <w:rPr>
          <w:rStyle w:val="52"/>
          <w:rFonts w:hint="eastAsia" w:eastAsia="仿宋"/>
          <w:color w:val="000000"/>
          <w:szCs w:val="21"/>
          <w:u w:val="none"/>
        </w:rPr>
        <w:t xml:space="preserve">  </w:t>
      </w:r>
      <w:r>
        <w:rPr>
          <w:rFonts w:hint="eastAsia"/>
          <w:bCs/>
          <w:color w:val="000000"/>
          <w:szCs w:val="21"/>
        </w:rPr>
        <w:t>室内照明系统设置采取节能控制措施，评价总分值为</w:t>
      </w:r>
      <w:r>
        <w:rPr>
          <w:bCs/>
          <w:color w:val="000000"/>
          <w:szCs w:val="21"/>
        </w:rPr>
        <w:t>12</w:t>
      </w:r>
      <w:r>
        <w:rPr>
          <w:rFonts w:hint="eastAsia"/>
          <w:bCs/>
          <w:color w:val="000000"/>
          <w:szCs w:val="21"/>
        </w:rPr>
        <w:t>分，并按下列规则分别评分并累计：</w:t>
      </w:r>
    </w:p>
    <w:p>
      <w:pPr>
        <w:widowControl/>
        <w:spacing w:line="380" w:lineRule="exact"/>
        <w:ind w:firstLine="420" w:firstLineChars="200"/>
        <w:rPr>
          <w:bCs/>
          <w:color w:val="000000"/>
          <w:szCs w:val="21"/>
        </w:rPr>
      </w:pPr>
      <w:r>
        <w:rPr>
          <w:rFonts w:hint="eastAsia"/>
          <w:bCs/>
          <w:color w:val="000000"/>
          <w:szCs w:val="21"/>
        </w:rPr>
        <w:t>1  合理利用自然采光，设置光照度感应智能控制，得4分；</w:t>
      </w:r>
    </w:p>
    <w:p>
      <w:pPr>
        <w:widowControl/>
        <w:spacing w:line="380" w:lineRule="exact"/>
        <w:ind w:firstLine="420" w:firstLineChars="200"/>
        <w:rPr>
          <w:bCs/>
          <w:color w:val="000000"/>
          <w:szCs w:val="21"/>
        </w:rPr>
      </w:pPr>
      <w:r>
        <w:rPr>
          <w:rFonts w:hint="eastAsia"/>
          <w:bCs/>
          <w:color w:val="000000"/>
          <w:szCs w:val="21"/>
        </w:rPr>
        <w:t>2  合理设置智能照明控制系统，得4分；</w:t>
      </w:r>
    </w:p>
    <w:p>
      <w:pPr>
        <w:widowControl/>
        <w:spacing w:line="380" w:lineRule="exact"/>
        <w:ind w:firstLine="420" w:firstLineChars="200"/>
        <w:rPr>
          <w:bCs/>
          <w:color w:val="000000"/>
          <w:szCs w:val="21"/>
        </w:rPr>
      </w:pPr>
      <w:r>
        <w:rPr>
          <w:rFonts w:hint="eastAsia"/>
          <w:bCs/>
          <w:color w:val="000000"/>
          <w:szCs w:val="21"/>
        </w:rPr>
        <w:t>3  室内人员非长期活动停留的电梯厅、走廊、楼梯间及公共建筑的卫生间等区域和场所，设置感应式自动控制措施，得4分；</w:t>
      </w:r>
      <w:r>
        <w:rPr>
          <w:bCs/>
          <w:color w:val="000000"/>
          <w:szCs w:val="21"/>
        </w:rPr>
        <w:t xml:space="preserve"> </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bCs/>
          <w:color w:val="000000"/>
        </w:rPr>
        <w:t>4.2.</w:t>
      </w:r>
      <w:r>
        <w:rPr>
          <w:b/>
          <w:bCs/>
          <w:color w:val="000000"/>
        </w:rPr>
        <w:t>21</w:t>
      </w:r>
      <w:r>
        <w:rPr>
          <w:rStyle w:val="52"/>
          <w:rFonts w:hint="eastAsia" w:eastAsia="仿宋"/>
          <w:color w:val="000000"/>
          <w:szCs w:val="21"/>
          <w:u w:val="none"/>
        </w:rPr>
        <w:t xml:space="preserve">  </w:t>
      </w:r>
      <w:r>
        <w:rPr>
          <w:rFonts w:hint="eastAsia" w:eastAsia="仿宋"/>
          <w:color w:val="000000"/>
          <w:szCs w:val="21"/>
        </w:rPr>
        <w:t>本条适用于各类民用建筑全装修的预评价、评价。</w:t>
      </w:r>
    </w:p>
    <w:p>
      <w:pPr>
        <w:widowControl/>
        <w:spacing w:line="380" w:lineRule="exact"/>
        <w:ind w:firstLine="420" w:firstLineChars="200"/>
        <w:rPr>
          <w:rFonts w:eastAsia="仿宋"/>
          <w:color w:val="000000"/>
          <w:szCs w:val="21"/>
        </w:rPr>
      </w:pPr>
      <w:r>
        <w:rPr>
          <w:rFonts w:hint="eastAsia" w:eastAsia="仿宋"/>
          <w:color w:val="000000"/>
          <w:szCs w:val="21"/>
        </w:rPr>
        <w:t>第1款适用于公共建筑室内装饰装修竣工验收、运营管理评价；第2款适用于公共建筑与居住建筑室内装饰装修的竣工验收、运营管理评价；第3款适用于公共建筑与居住建筑室内装饰装修的竣工验收、运营管理评价；第4款适用于旅馆建筑室内装饰装修的竣工验收、运营管理评价。</w:t>
      </w:r>
    </w:p>
    <w:p>
      <w:pPr>
        <w:widowControl/>
        <w:spacing w:line="380" w:lineRule="exact"/>
        <w:ind w:firstLine="420" w:firstLineChars="200"/>
        <w:rPr>
          <w:rFonts w:eastAsia="仿宋"/>
          <w:color w:val="000000"/>
          <w:szCs w:val="21"/>
        </w:rPr>
      </w:pPr>
      <w:r>
        <w:rPr>
          <w:rFonts w:hint="eastAsia" w:eastAsia="仿宋"/>
          <w:color w:val="000000"/>
          <w:szCs w:val="21"/>
        </w:rPr>
        <w:t>一般自然采光区（在室内距离窗户4.5m区域内）或天窗自然采光区域内，不少于25%照明负荷设置自然采光感应智能控制系统。</w:t>
      </w:r>
    </w:p>
    <w:p>
      <w:pPr>
        <w:widowControl/>
        <w:spacing w:line="380" w:lineRule="exact"/>
        <w:ind w:firstLine="420" w:firstLineChars="200"/>
        <w:rPr>
          <w:rFonts w:eastAsia="仿宋"/>
          <w:color w:val="000000"/>
          <w:szCs w:val="21"/>
        </w:rPr>
      </w:pPr>
      <w:r>
        <w:rPr>
          <w:rFonts w:hint="eastAsia" w:eastAsia="仿宋"/>
          <w:color w:val="000000"/>
          <w:szCs w:val="21"/>
        </w:rPr>
        <w:t>在建筑的实际运行过程中，照明系统的分区控制、定时控制、自动感应开关、照度调节等智能控制措施对降低照明能耗作用很明显。</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本条的评价方法为：预评价在设计阶段时查阅相关设计文件，评价阶段查阅相关竣工图，并现场核实。</w:t>
      </w:r>
    </w:p>
    <w:p>
      <w:pPr>
        <w:widowControl/>
        <w:spacing w:line="380" w:lineRule="exact"/>
        <w:rPr>
          <w:bCs/>
          <w:color w:val="000000"/>
          <w:szCs w:val="21"/>
        </w:rPr>
      </w:pPr>
      <w:r>
        <w:rPr>
          <w:rFonts w:hint="eastAsia"/>
          <w:b/>
          <w:color w:val="000000"/>
        </w:rPr>
        <w:t>4.2.</w:t>
      </w:r>
      <w:r>
        <w:rPr>
          <w:b/>
          <w:color w:val="000000"/>
        </w:rPr>
        <w:t>22</w:t>
      </w:r>
      <w:r>
        <w:rPr>
          <w:rFonts w:hint="eastAsia"/>
          <w:b/>
          <w:color w:val="000000"/>
        </w:rPr>
        <w:t xml:space="preserve">  </w:t>
      </w:r>
      <w:r>
        <w:rPr>
          <w:bCs/>
          <w:color w:val="000000"/>
          <w:szCs w:val="21"/>
        </w:rPr>
        <w:t>采用节能型电气设备及节能控制措施，评价总分值为10分，并按下列规则分别评分并累计：</w:t>
      </w:r>
    </w:p>
    <w:p>
      <w:pPr>
        <w:widowControl/>
        <w:spacing w:line="380" w:lineRule="exact"/>
        <w:ind w:firstLine="420" w:firstLineChars="200"/>
        <w:rPr>
          <w:bCs/>
          <w:color w:val="000000"/>
          <w:szCs w:val="21"/>
        </w:rPr>
      </w:pPr>
      <w:r>
        <w:rPr>
          <w:bCs/>
          <w:color w:val="000000"/>
          <w:szCs w:val="21"/>
        </w:rPr>
        <w:t>1照明控制系统与室内照度联动，实现有效节能，得3分；</w:t>
      </w:r>
    </w:p>
    <w:p>
      <w:pPr>
        <w:widowControl/>
        <w:spacing w:line="380" w:lineRule="exact"/>
        <w:ind w:firstLine="420" w:firstLineChars="200"/>
        <w:rPr>
          <w:bCs/>
          <w:color w:val="000000"/>
          <w:szCs w:val="21"/>
        </w:rPr>
      </w:pPr>
      <w:r>
        <w:rPr>
          <w:bCs/>
          <w:color w:val="000000"/>
          <w:szCs w:val="21"/>
        </w:rPr>
        <w:t>2三相配电变压器、水泵、风机等设备满足国家现行相关标准的节能评价值的要求，得4分；</w:t>
      </w:r>
    </w:p>
    <w:p>
      <w:pPr>
        <w:widowControl/>
        <w:spacing w:line="380" w:lineRule="exact"/>
        <w:ind w:firstLine="420" w:firstLineChars="200"/>
        <w:rPr>
          <w:bCs/>
          <w:color w:val="000000"/>
          <w:szCs w:val="21"/>
        </w:rPr>
      </w:pPr>
      <w:r>
        <w:rPr>
          <w:bCs/>
          <w:color w:val="000000"/>
          <w:szCs w:val="21"/>
        </w:rPr>
        <w:t>3垂直电梯采取群控、变频调速或能量反馈等措施，扶梯采用变频感应启动等节能控制措施，得3分。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color w:val="000000"/>
        </w:rPr>
        <w:t>4.2.</w:t>
      </w:r>
      <w:r>
        <w:rPr>
          <w:b/>
          <w:color w:val="000000"/>
        </w:rPr>
        <w:t>22</w:t>
      </w:r>
      <w:r>
        <w:rPr>
          <w:rFonts w:hint="eastAsia"/>
          <w:b/>
          <w:color w:val="000000"/>
        </w:rPr>
        <w:t xml:space="preserve">  </w:t>
      </w:r>
      <w:r>
        <w:rPr>
          <w:rFonts w:hint="eastAsia" w:eastAsia="仿宋"/>
          <w:color w:val="000000"/>
          <w:szCs w:val="21"/>
        </w:rPr>
        <w:t>本条适用于各类民用建筑全装修的预评价、评价。对于本条第3 款，若项目未采用电梯，本款直接得分。</w:t>
      </w:r>
    </w:p>
    <w:p>
      <w:pPr>
        <w:widowControl/>
        <w:spacing w:line="380" w:lineRule="exact"/>
        <w:ind w:firstLine="420" w:firstLineChars="200"/>
        <w:rPr>
          <w:rFonts w:eastAsia="仿宋"/>
          <w:color w:val="000000"/>
          <w:szCs w:val="21"/>
        </w:rPr>
      </w:pPr>
      <w:r>
        <w:rPr>
          <w:rFonts w:hint="eastAsia" w:eastAsia="仿宋"/>
          <w:color w:val="000000"/>
          <w:szCs w:val="21"/>
        </w:rPr>
        <w:t>第1 款是对照明控制系统功能的评价。室内照度与人工照明系统的联动不仅可以保证良好的光环境，避免室内产生过高的明暗亮度对比，同时还能在较大程度上降低照明能耗。</w:t>
      </w:r>
    </w:p>
    <w:p>
      <w:pPr>
        <w:widowControl/>
        <w:spacing w:line="380" w:lineRule="exact"/>
        <w:ind w:firstLine="420" w:firstLineChars="200"/>
        <w:rPr>
          <w:rFonts w:eastAsia="仿宋"/>
          <w:color w:val="000000"/>
          <w:szCs w:val="21"/>
        </w:rPr>
      </w:pPr>
      <w:r>
        <w:rPr>
          <w:rFonts w:hint="eastAsia" w:eastAsia="仿宋"/>
          <w:color w:val="000000"/>
          <w:szCs w:val="21"/>
        </w:rPr>
        <w:t>第2 款要求所用配电变压器满足现行国家标准《三相配电变压器能效限定值及节能评价值》GB 20052 规定的节能评价值，油浸式配电变压器、干式配电变压器的空载损耗和负载损耗值均应不高于能效等级2 级的规定。水泵、风机等其他电气设备也满足现行相关国家标准（例如现行国家标准《中小型三相异步电动机能效限定值及能效等级》GB 18613、《通风机能效限定值及能效等级》GB 19761、《清水离心泵能效限定值及节能评价值 》GB 19762）的节能评价值。</w:t>
      </w:r>
    </w:p>
    <w:p>
      <w:pPr>
        <w:widowControl/>
        <w:spacing w:line="380" w:lineRule="exact"/>
        <w:ind w:firstLine="420" w:firstLineChars="200"/>
        <w:rPr>
          <w:rFonts w:eastAsia="仿宋"/>
          <w:color w:val="000000"/>
          <w:szCs w:val="21"/>
        </w:rPr>
      </w:pPr>
      <w:r>
        <w:rPr>
          <w:rFonts w:hint="eastAsia" w:eastAsia="仿宋"/>
          <w:color w:val="000000"/>
          <w:szCs w:val="21"/>
        </w:rPr>
        <w:t>第3 款是对电梯系统的节能控制措施的要求。对垂直电梯，当建筑物有多台电梯时，应采用群控技术，应采用变频调速拖动或能量再生回馈技术，同时也采用轿厢无人自动关灯技术等；对于扶梯，应采用变频感应启动技术来降低使用能耗。</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电气等专业施工图，与变压器选型设计、无功补偿、谐波治理相关的电气设计说明、低压配电系统图、变压器负荷计算书等，审查三相配电变压器、水泵、风机等的节能性能指标，查阅照明控制相关图纸；查阅电梯、自动扶梯选型参数表、人流平衡计算分析报告，电梯、扶梯配电系统图及控制系统图；评价查阅电气等专业竣工图，与变压器选型设计、无功补偿、谐波治理相关的电气设计说明、低压配电系统图、变压器负荷计算书等，照明控制竣工图，变压器、照明控制产品、 水泵、风机、电梯的型式检验报告，审查三相配电变压器、照明控制产品、水泵、风机、电梯等的节能性能指标，必要时现</w:t>
      </w:r>
    </w:p>
    <w:p>
      <w:pPr>
        <w:widowControl/>
        <w:spacing w:line="380" w:lineRule="exact"/>
        <w:rPr>
          <w:rFonts w:eastAsia="仿宋"/>
          <w:color w:val="000000"/>
          <w:szCs w:val="21"/>
        </w:rPr>
      </w:pPr>
      <w:r>
        <w:rPr>
          <w:rFonts w:hint="eastAsia" w:eastAsia="仿宋"/>
          <w:color w:val="000000"/>
          <w:szCs w:val="21"/>
        </w:rPr>
        <w:t>场核查。</w:t>
      </w:r>
    </w:p>
    <w:p>
      <w:pPr>
        <w:widowControl/>
        <w:spacing w:line="380" w:lineRule="exact"/>
        <w:rPr>
          <w:bCs/>
          <w:color w:val="000000"/>
          <w:szCs w:val="21"/>
        </w:rPr>
      </w:pPr>
      <w:r>
        <w:rPr>
          <w:rFonts w:hint="eastAsia"/>
          <w:b/>
          <w:color w:val="000000"/>
        </w:rPr>
        <w:t>4.2.</w:t>
      </w:r>
      <w:r>
        <w:rPr>
          <w:b/>
          <w:color w:val="000000"/>
        </w:rPr>
        <w:t>23</w:t>
      </w:r>
      <w:r>
        <w:rPr>
          <w:rFonts w:hint="eastAsia"/>
          <w:b/>
          <w:color w:val="000000"/>
        </w:rPr>
        <w:t xml:space="preserve">  </w:t>
      </w:r>
      <w:r>
        <w:rPr>
          <w:bCs/>
          <w:color w:val="000000"/>
          <w:szCs w:val="21"/>
        </w:rPr>
        <w:t>使用较高用水效率等级的卫生器具，评价总分值为9分，并按下列规则评分：</w:t>
      </w:r>
    </w:p>
    <w:p>
      <w:pPr>
        <w:widowControl/>
        <w:spacing w:line="380" w:lineRule="exact"/>
        <w:ind w:firstLine="420" w:firstLineChars="200"/>
        <w:rPr>
          <w:bCs/>
          <w:color w:val="000000"/>
          <w:szCs w:val="21"/>
        </w:rPr>
      </w:pPr>
      <w:r>
        <w:rPr>
          <w:bCs/>
          <w:color w:val="000000"/>
          <w:szCs w:val="21"/>
        </w:rPr>
        <w:t>1全部卫生器具的用水效率等级达到2级，得3分；</w:t>
      </w:r>
    </w:p>
    <w:p>
      <w:pPr>
        <w:widowControl/>
        <w:spacing w:line="380" w:lineRule="exact"/>
        <w:ind w:firstLine="420" w:firstLineChars="200"/>
        <w:rPr>
          <w:bCs/>
          <w:color w:val="000000"/>
          <w:szCs w:val="21"/>
        </w:rPr>
      </w:pPr>
      <w:r>
        <w:rPr>
          <w:bCs/>
          <w:color w:val="000000"/>
          <w:szCs w:val="21"/>
        </w:rPr>
        <w:t>2 50%以上卫生器具的用水效率等级达到1级且其他达到2级，得6分；</w:t>
      </w:r>
    </w:p>
    <w:p>
      <w:pPr>
        <w:widowControl/>
        <w:spacing w:line="380" w:lineRule="exact"/>
        <w:ind w:firstLine="420" w:firstLineChars="200"/>
        <w:rPr>
          <w:bCs/>
          <w:color w:val="000000"/>
          <w:szCs w:val="21"/>
        </w:rPr>
      </w:pPr>
      <w:r>
        <w:rPr>
          <w:bCs/>
          <w:color w:val="000000"/>
          <w:szCs w:val="21"/>
        </w:rPr>
        <w:t>3全部卫生器具的用水效率等级达到1级，得9分。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color w:val="000000"/>
        </w:rPr>
        <w:t>4.2.</w:t>
      </w:r>
      <w:r>
        <w:rPr>
          <w:b/>
          <w:color w:val="000000"/>
        </w:rPr>
        <w:t>23</w:t>
      </w:r>
      <w:r>
        <w:rPr>
          <w:rFonts w:hint="eastAsia"/>
          <w:b/>
          <w:color w:val="000000"/>
        </w:rPr>
        <w:t xml:space="preserve">  </w:t>
      </w:r>
      <w:r>
        <w:rPr>
          <w:rFonts w:hint="eastAsia" w:eastAsia="仿宋"/>
          <w:color w:val="000000"/>
          <w:szCs w:val="21"/>
        </w:rPr>
        <w:t>本条适用于各类民用建筑全装修的预评价、评价。</w:t>
      </w:r>
    </w:p>
    <w:p>
      <w:pPr>
        <w:widowControl/>
        <w:spacing w:line="380" w:lineRule="exact"/>
        <w:ind w:firstLine="420" w:firstLineChars="200"/>
        <w:rPr>
          <w:rFonts w:eastAsia="仿宋"/>
          <w:color w:val="000000"/>
          <w:szCs w:val="21"/>
        </w:rPr>
      </w:pPr>
      <w:r>
        <w:rPr>
          <w:rFonts w:hint="eastAsia" w:eastAsia="仿宋"/>
          <w:color w:val="000000"/>
          <w:szCs w:val="21"/>
        </w:rPr>
        <w:t>绿色建筑鼓励选用更高节水性能的节水器具。目前我国已对部分用水器具的用水效率制定了相关标准，如：国家标准《水嘴用水效率限定值及用水效率等级》GB 25501-2010、《坐便器用水效率限定值及用水效率等级》GB 25502-2010，《小便器用水效率限定值及用水效率等级》GB 28377-2012、《淋浴器用水效率限定值及用水效率等级》GB 28378-2012、《便器冲洗阀用水效率限定值及用水效率等级》GB 28379-2012 等。</w:t>
      </w:r>
    </w:p>
    <w:p>
      <w:pPr>
        <w:widowControl/>
        <w:spacing w:line="380" w:lineRule="exact"/>
        <w:ind w:firstLine="420" w:firstLineChars="200"/>
        <w:rPr>
          <w:rFonts w:eastAsia="仿宋"/>
          <w:color w:val="000000"/>
          <w:szCs w:val="21"/>
        </w:rPr>
      </w:pPr>
      <w:r>
        <w:rPr>
          <w:rFonts w:hint="eastAsia" w:eastAsia="仿宋"/>
          <w:color w:val="000000"/>
          <w:szCs w:val="21"/>
        </w:rPr>
        <w:t>在设计文件中要注明对卫生器具的节水要求和相应的参数或标准。当存在不同用水效率等级的卫生器具时，按满足最低等级的要求得分。</w:t>
      </w:r>
    </w:p>
    <w:p>
      <w:pPr>
        <w:widowControl/>
        <w:spacing w:line="380" w:lineRule="exact"/>
        <w:ind w:firstLine="420" w:firstLineChars="200"/>
        <w:rPr>
          <w:rFonts w:eastAsia="仿宋"/>
          <w:color w:val="000000"/>
          <w:szCs w:val="21"/>
        </w:rPr>
      </w:pPr>
      <w:r>
        <w:rPr>
          <w:rFonts w:hint="eastAsia" w:eastAsia="仿宋"/>
          <w:color w:val="000000"/>
          <w:szCs w:val="21"/>
        </w:rPr>
        <w:t>有用水效率相关标准的卫生器具全部采用达到相应用水效率等级的产品时，方可认定第1 款或第3 款得分；有用水效率相关标准的卫生器具中，50%以上数量的器具采用达到用水效率等级1 级的产品且其他达到2 级时，方可认定第2 款得分。今后当其他用水器具出台了相应标准时，按同样的原则进行要求。</w:t>
      </w:r>
    </w:p>
    <w:p>
      <w:pPr>
        <w:widowControl/>
        <w:spacing w:line="380" w:lineRule="exact"/>
        <w:ind w:firstLine="420" w:firstLineChars="200"/>
        <w:rPr>
          <w:rFonts w:eastAsia="仿宋"/>
          <w:color w:val="000000"/>
          <w:szCs w:val="21"/>
        </w:rPr>
      </w:pPr>
      <w:r>
        <w:rPr>
          <w:rFonts w:hint="eastAsia" w:eastAsia="仿宋"/>
          <w:color w:val="000000"/>
          <w:szCs w:val="21"/>
        </w:rPr>
        <w:t>对全装修的项目，在施工图设计中应对节水器具的选用做出要求；对非全装修的项目，如未安装节水器具，本条不得分。</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本条的评价方法为：预评价查阅相关设计文件、产品说明书（含相关节水器具的性能参数要求）；评价查阅相关竣工图纸、设计说明、产品说明书、产品节水性能检测报告，必要时现场核查。</w:t>
      </w:r>
    </w:p>
    <w:p>
      <w:pPr>
        <w:widowControl/>
        <w:spacing w:line="380" w:lineRule="exact"/>
        <w:rPr>
          <w:bCs/>
          <w:color w:val="000000"/>
          <w:szCs w:val="21"/>
        </w:rPr>
      </w:pPr>
      <w:r>
        <w:rPr>
          <w:rFonts w:hint="eastAsia"/>
          <w:b/>
          <w:color w:val="000000"/>
        </w:rPr>
        <w:t>4.2.</w:t>
      </w:r>
      <w:r>
        <w:rPr>
          <w:b/>
          <w:color w:val="000000"/>
        </w:rPr>
        <w:t>24</w:t>
      </w:r>
      <w:r>
        <w:rPr>
          <w:rFonts w:hint="eastAsia"/>
          <w:b/>
          <w:color w:val="000000"/>
        </w:rPr>
        <w:t xml:space="preserve">  </w:t>
      </w:r>
      <w:r>
        <w:rPr>
          <w:rFonts w:hint="eastAsia"/>
          <w:bCs/>
          <w:color w:val="000000"/>
          <w:szCs w:val="21"/>
        </w:rPr>
        <w:t>热水供应系统采取节水措施，评价最高总分值为</w:t>
      </w:r>
      <w:r>
        <w:rPr>
          <w:bCs/>
          <w:color w:val="000000"/>
          <w:szCs w:val="21"/>
        </w:rPr>
        <w:t>9</w:t>
      </w:r>
      <w:r>
        <w:rPr>
          <w:rFonts w:hint="eastAsia"/>
          <w:bCs/>
          <w:color w:val="000000"/>
          <w:szCs w:val="21"/>
        </w:rPr>
        <w:t>分，并按下列规则分别评分并累计：</w:t>
      </w:r>
    </w:p>
    <w:p>
      <w:pPr>
        <w:widowControl/>
        <w:spacing w:line="380" w:lineRule="exact"/>
        <w:ind w:firstLine="420" w:firstLineChars="200"/>
        <w:rPr>
          <w:bCs/>
          <w:color w:val="000000"/>
          <w:szCs w:val="21"/>
        </w:rPr>
      </w:pPr>
      <w:r>
        <w:rPr>
          <w:rFonts w:hint="eastAsia"/>
          <w:bCs/>
          <w:color w:val="000000"/>
          <w:szCs w:val="21"/>
        </w:rPr>
        <w:t>1  集中热水系统供应时，设置热水循环管道，有保证支管和末端中热水温度的措施，评价分值为</w:t>
      </w:r>
      <w:r>
        <w:rPr>
          <w:bCs/>
          <w:color w:val="000000"/>
          <w:szCs w:val="21"/>
        </w:rPr>
        <w:t>3</w:t>
      </w:r>
      <w:r>
        <w:rPr>
          <w:rFonts w:hint="eastAsia"/>
          <w:bCs/>
          <w:color w:val="000000"/>
          <w:szCs w:val="21"/>
        </w:rPr>
        <w:t>分，并按下列规则评分：</w:t>
      </w:r>
    </w:p>
    <w:p>
      <w:pPr>
        <w:widowControl/>
        <w:spacing w:line="380" w:lineRule="exact"/>
        <w:ind w:firstLine="420" w:firstLineChars="200"/>
        <w:rPr>
          <w:bCs/>
          <w:color w:val="000000"/>
          <w:szCs w:val="21"/>
        </w:rPr>
      </w:pPr>
      <w:r>
        <w:rPr>
          <w:rFonts w:hint="eastAsia"/>
          <w:bCs/>
          <w:color w:val="000000"/>
          <w:szCs w:val="21"/>
        </w:rPr>
        <w:t>1）居住建筑：用水点出水温度达到45℃的放水时间不大于15s得2分；不大于10s，得</w:t>
      </w:r>
      <w:r>
        <w:rPr>
          <w:bCs/>
          <w:color w:val="000000"/>
          <w:szCs w:val="21"/>
        </w:rPr>
        <w:t>3</w:t>
      </w:r>
      <w:r>
        <w:rPr>
          <w:rFonts w:hint="eastAsia"/>
          <w:bCs/>
          <w:color w:val="000000"/>
          <w:szCs w:val="21"/>
        </w:rPr>
        <w:t>分；</w:t>
      </w:r>
    </w:p>
    <w:p>
      <w:pPr>
        <w:widowControl/>
        <w:spacing w:line="380" w:lineRule="exact"/>
        <w:ind w:firstLine="420" w:firstLineChars="200"/>
        <w:rPr>
          <w:bCs/>
          <w:color w:val="000000"/>
          <w:szCs w:val="21"/>
        </w:rPr>
      </w:pPr>
      <w:r>
        <w:rPr>
          <w:rFonts w:hint="eastAsia"/>
          <w:bCs/>
          <w:color w:val="000000"/>
          <w:szCs w:val="21"/>
        </w:rPr>
        <w:t>2）公共建筑：用水点出水温度达到45℃的放水时间不大于10s得2分；不大于5s，得</w:t>
      </w:r>
      <w:r>
        <w:rPr>
          <w:bCs/>
          <w:color w:val="000000"/>
          <w:szCs w:val="21"/>
        </w:rPr>
        <w:t>3</w:t>
      </w:r>
      <w:r>
        <w:rPr>
          <w:rFonts w:hint="eastAsia"/>
          <w:bCs/>
          <w:color w:val="000000"/>
          <w:szCs w:val="21"/>
        </w:rPr>
        <w:t>分；</w:t>
      </w:r>
    </w:p>
    <w:p>
      <w:pPr>
        <w:widowControl/>
        <w:spacing w:line="380" w:lineRule="exact"/>
        <w:ind w:firstLine="420" w:firstLineChars="200"/>
        <w:rPr>
          <w:bCs/>
          <w:color w:val="000000"/>
          <w:szCs w:val="21"/>
        </w:rPr>
      </w:pPr>
      <w:r>
        <w:rPr>
          <w:bCs/>
          <w:color w:val="000000"/>
          <w:szCs w:val="21"/>
        </w:rPr>
        <w:t>2  </w:t>
      </w:r>
      <w:r>
        <w:rPr>
          <w:rFonts w:hint="eastAsia"/>
          <w:bCs/>
          <w:color w:val="000000"/>
          <w:szCs w:val="21"/>
        </w:rPr>
        <w:t>公共浴室节水措施，设计带恒温控制与温度显示功能的冷热水混合淋浴器，得</w:t>
      </w:r>
      <w:r>
        <w:rPr>
          <w:bCs/>
          <w:color w:val="000000"/>
          <w:szCs w:val="21"/>
        </w:rPr>
        <w:t>3</w:t>
      </w:r>
      <w:r>
        <w:rPr>
          <w:rFonts w:hint="eastAsia"/>
          <w:bCs/>
          <w:color w:val="000000"/>
          <w:szCs w:val="21"/>
        </w:rPr>
        <w:t>分。</w:t>
      </w:r>
    </w:p>
    <w:p>
      <w:pPr>
        <w:widowControl/>
        <w:spacing w:line="380" w:lineRule="exact"/>
        <w:ind w:firstLine="420" w:firstLineChars="200"/>
        <w:rPr>
          <w:bCs/>
          <w:color w:val="000000"/>
          <w:szCs w:val="21"/>
        </w:rPr>
      </w:pPr>
      <w:r>
        <w:rPr>
          <w:rFonts w:hint="eastAsia"/>
          <w:bCs/>
          <w:color w:val="000000"/>
          <w:szCs w:val="21"/>
        </w:rPr>
        <w:t>3  设置使用者付费的设施装置，得</w:t>
      </w:r>
      <w:r>
        <w:rPr>
          <w:bCs/>
          <w:color w:val="000000"/>
          <w:szCs w:val="21"/>
        </w:rPr>
        <w:t>3</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color w:val="000000"/>
        </w:rPr>
        <w:t>4.2.</w:t>
      </w:r>
      <w:r>
        <w:rPr>
          <w:b/>
          <w:color w:val="000000"/>
        </w:rPr>
        <w:t>24</w:t>
      </w:r>
      <w:r>
        <w:rPr>
          <w:rFonts w:hint="eastAsia"/>
          <w:b/>
          <w:color w:val="000000"/>
        </w:rPr>
        <w:t xml:space="preserve">  </w:t>
      </w:r>
      <w:r>
        <w:rPr>
          <w:rFonts w:hint="eastAsia" w:eastAsia="仿宋"/>
          <w:color w:val="000000"/>
          <w:szCs w:val="21"/>
        </w:rPr>
        <w:t>本条适用于各类民用建筑全装修的预评价、评价。无公共</w:t>
      </w:r>
      <w:r>
        <w:rPr>
          <w:rFonts w:eastAsia="仿宋"/>
          <w:color w:val="000000"/>
          <w:szCs w:val="21"/>
        </w:rPr>
        <w:t>浴室本条直接得分。</w:t>
      </w:r>
    </w:p>
    <w:p>
      <w:pPr>
        <w:widowControl/>
        <w:spacing w:line="380" w:lineRule="exact"/>
        <w:ind w:firstLine="420" w:firstLineChars="200"/>
        <w:rPr>
          <w:rFonts w:eastAsia="仿宋"/>
          <w:color w:val="000000"/>
          <w:szCs w:val="21"/>
        </w:rPr>
      </w:pPr>
      <w:r>
        <w:rPr>
          <w:rFonts w:hint="eastAsia" w:eastAsia="仿宋"/>
          <w:color w:val="000000"/>
          <w:szCs w:val="21"/>
        </w:rPr>
        <w:t>本条主要是为了减少在热水使用过程中“无效冷水”流失与无人时“长流水”浪费。</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本条的评价方法为：预评价阶段查阅相关设计文件，评价阶段查阅相关竣工资料，并现场核实。</w:t>
      </w:r>
    </w:p>
    <w:p>
      <w:pPr>
        <w:widowControl/>
        <w:spacing w:line="380" w:lineRule="exact"/>
        <w:rPr>
          <w:bCs/>
          <w:color w:val="000000"/>
          <w:szCs w:val="21"/>
        </w:rPr>
      </w:pPr>
      <w:r>
        <w:rPr>
          <w:rFonts w:hint="eastAsia"/>
          <w:b/>
          <w:color w:val="000000"/>
        </w:rPr>
        <w:t>4.2.</w:t>
      </w:r>
      <w:r>
        <w:rPr>
          <w:b/>
          <w:color w:val="000000"/>
        </w:rPr>
        <w:t>25</w:t>
      </w:r>
      <w:r>
        <w:rPr>
          <w:rFonts w:hint="eastAsia"/>
          <w:b/>
          <w:color w:val="000000"/>
        </w:rPr>
        <w:t xml:space="preserve">  </w:t>
      </w:r>
      <w:r>
        <w:rPr>
          <w:rFonts w:hint="eastAsia"/>
          <w:bCs/>
          <w:color w:val="000000"/>
          <w:szCs w:val="21"/>
        </w:rPr>
        <w:t>采用快速再生材料及其合成的高强复合材料，其造价不低于室内装饰装修材料总造价的5%，评价分值为8分。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color w:val="000000"/>
        </w:rPr>
        <w:t>4.2.</w:t>
      </w:r>
      <w:r>
        <w:rPr>
          <w:b/>
          <w:color w:val="000000"/>
        </w:rPr>
        <w:t>25</w:t>
      </w:r>
      <w:r>
        <w:rPr>
          <w:rFonts w:hint="eastAsia"/>
          <w:b/>
          <w:color w:val="000000"/>
        </w:rPr>
        <w:t xml:space="preserve">  </w:t>
      </w:r>
      <w:r>
        <w:rPr>
          <w:rFonts w:hint="eastAsia" w:eastAsia="仿宋"/>
          <w:color w:val="000000"/>
          <w:szCs w:val="21"/>
        </w:rPr>
        <w:t>本条适用于各类民用建筑全装修的预评价、评价。</w:t>
      </w:r>
    </w:p>
    <w:p>
      <w:pPr>
        <w:widowControl/>
        <w:spacing w:line="380" w:lineRule="exact"/>
        <w:ind w:firstLine="420" w:firstLineChars="200"/>
        <w:rPr>
          <w:rFonts w:eastAsia="仿宋"/>
          <w:color w:val="000000"/>
          <w:szCs w:val="21"/>
        </w:rPr>
      </w:pPr>
      <w:r>
        <w:rPr>
          <w:rFonts w:hint="eastAsia" w:eastAsia="仿宋"/>
          <w:color w:val="000000"/>
          <w:szCs w:val="21"/>
        </w:rPr>
        <w:t>快速再生材料是指在短时间内即可长成并可使用的材料，如竹子、生长周期短的木材、淀粉合成材料等。</w:t>
      </w:r>
    </w:p>
    <w:p>
      <w:pPr>
        <w:widowControl/>
        <w:spacing w:line="380" w:lineRule="exact"/>
        <w:ind w:firstLine="420" w:firstLineChars="200"/>
        <w:rPr>
          <w:rFonts w:eastAsia="仿宋"/>
          <w:color w:val="000000"/>
          <w:szCs w:val="21"/>
        </w:rPr>
      </w:pPr>
      <w:r>
        <w:rPr>
          <w:rFonts w:hint="eastAsia" w:eastAsia="仿宋"/>
          <w:color w:val="000000"/>
          <w:szCs w:val="21"/>
        </w:rPr>
        <w:t>高强复合材料是指由两种或两种以上不同性质的材料，通过物理或化学的方法，在宏观（微观）上组成具有新性能、高强度的材料，如碳纤维材料、纤维增强塑料等。</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w:t>
      </w:r>
      <w:r>
        <w:rPr>
          <w:rFonts w:eastAsia="仿宋"/>
          <w:color w:val="000000"/>
          <w:szCs w:val="21"/>
        </w:rPr>
        <w:t>查阅相关设计文件，</w:t>
      </w:r>
      <w:r>
        <w:rPr>
          <w:rFonts w:hint="eastAsia" w:eastAsia="仿宋"/>
          <w:color w:val="000000"/>
          <w:szCs w:val="21"/>
        </w:rPr>
        <w:t>评价查阅材料预算清单，计算再生材料及其合成的高强复合材料占所有材料造价比例，并现场核实；</w:t>
      </w:r>
      <w:r>
        <w:rPr>
          <w:rFonts w:eastAsia="仿宋"/>
          <w:color w:val="000000"/>
          <w:szCs w:val="21"/>
        </w:rPr>
        <w:t xml:space="preserve"> </w:t>
      </w:r>
    </w:p>
    <w:p>
      <w:pPr>
        <w:widowControl/>
        <w:spacing w:line="380" w:lineRule="exact"/>
        <w:rPr>
          <w:bCs/>
          <w:color w:val="000000"/>
          <w:szCs w:val="21"/>
        </w:rPr>
      </w:pPr>
      <w:r>
        <w:rPr>
          <w:rFonts w:hint="eastAsia"/>
          <w:b/>
          <w:color w:val="000000"/>
        </w:rPr>
        <w:t>4.2.</w:t>
      </w:r>
      <w:r>
        <w:rPr>
          <w:b/>
          <w:color w:val="000000"/>
        </w:rPr>
        <w:t>26</w:t>
      </w:r>
      <w:r>
        <w:rPr>
          <w:rFonts w:hint="eastAsia"/>
          <w:b/>
          <w:color w:val="000000"/>
        </w:rPr>
        <w:t xml:space="preserve">  </w:t>
      </w:r>
      <w:r>
        <w:rPr>
          <w:rFonts w:hint="eastAsia"/>
          <w:bCs/>
          <w:color w:val="000000"/>
          <w:szCs w:val="21"/>
        </w:rPr>
        <w:t>选用回收利用、重复使用和翻新的家具和室内陈设，且不低于家具和陈设总造价的30%，评价分值为6分。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Fonts w:hint="eastAsia"/>
          <w:b/>
          <w:color w:val="000000"/>
        </w:rPr>
        <w:t>4.2.</w:t>
      </w:r>
      <w:r>
        <w:rPr>
          <w:b/>
          <w:color w:val="000000"/>
        </w:rPr>
        <w:t>26</w:t>
      </w:r>
      <w:r>
        <w:rPr>
          <w:rFonts w:hint="eastAsia"/>
          <w:b/>
          <w:color w:val="000000"/>
        </w:rPr>
        <w:t xml:space="preserve">  </w:t>
      </w:r>
      <w:r>
        <w:rPr>
          <w:rFonts w:hint="eastAsia" w:eastAsia="仿宋"/>
          <w:color w:val="000000"/>
          <w:szCs w:val="21"/>
        </w:rPr>
        <w:t>本条适用于各类民用建筑全装修的预评价、评价。</w:t>
      </w:r>
    </w:p>
    <w:p>
      <w:pPr>
        <w:widowControl/>
        <w:spacing w:line="380" w:lineRule="exact"/>
        <w:ind w:firstLine="420" w:firstLineChars="200"/>
        <w:rPr>
          <w:rFonts w:eastAsia="仿宋"/>
          <w:color w:val="000000"/>
          <w:szCs w:val="21"/>
        </w:rPr>
      </w:pPr>
      <w:r>
        <w:rPr>
          <w:rFonts w:hint="eastAsia" w:eastAsia="仿宋"/>
          <w:color w:val="000000"/>
          <w:szCs w:val="21"/>
        </w:rPr>
        <w:t>本条款鼓励旧家具利用，减少对森林资源的开发，保护环境。</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w:t>
      </w:r>
      <w:r>
        <w:rPr>
          <w:rFonts w:eastAsia="仿宋"/>
          <w:color w:val="000000"/>
          <w:szCs w:val="21"/>
        </w:rPr>
        <w:t>相关设计文件</w:t>
      </w:r>
      <w:r>
        <w:rPr>
          <w:rFonts w:hint="eastAsia" w:eastAsia="仿宋"/>
          <w:color w:val="000000"/>
          <w:szCs w:val="21"/>
        </w:rPr>
        <w:t>，评价查阅设计图纸、竣工结算书、家具购买清单与价格、旧家具估价清单。</w:t>
      </w:r>
    </w:p>
    <w:p>
      <w:pPr>
        <w:widowControl/>
        <w:spacing w:line="380" w:lineRule="exact"/>
        <w:rPr>
          <w:color w:val="000000"/>
          <w:szCs w:val="20"/>
        </w:rPr>
      </w:pPr>
      <w:r>
        <w:rPr>
          <w:rStyle w:val="52"/>
          <w:rFonts w:hint="eastAsia" w:eastAsia="仿宋"/>
          <w:b/>
          <w:color w:val="000000"/>
          <w:szCs w:val="21"/>
          <w:u w:val="none"/>
        </w:rPr>
        <w:t>4.2.</w:t>
      </w:r>
      <w:r>
        <w:rPr>
          <w:rStyle w:val="52"/>
          <w:rFonts w:eastAsia="仿宋"/>
          <w:b/>
          <w:color w:val="000000"/>
          <w:szCs w:val="21"/>
          <w:u w:val="none"/>
        </w:rPr>
        <w:t>27</w:t>
      </w:r>
      <w:r>
        <w:rPr>
          <w:rStyle w:val="52"/>
          <w:rFonts w:hint="eastAsia" w:eastAsia="仿宋"/>
          <w:b/>
          <w:color w:val="000000"/>
          <w:szCs w:val="21"/>
          <w:u w:val="none"/>
        </w:rPr>
        <w:t xml:space="preserve"> </w:t>
      </w:r>
      <w:r>
        <w:rPr>
          <w:rStyle w:val="52"/>
          <w:rFonts w:hint="eastAsia" w:eastAsia="仿宋"/>
          <w:color w:val="000000"/>
          <w:szCs w:val="21"/>
          <w:u w:val="none"/>
        </w:rPr>
        <w:t xml:space="preserve"> </w:t>
      </w:r>
      <w:r>
        <w:rPr>
          <w:color w:val="000000"/>
          <w:szCs w:val="20"/>
        </w:rPr>
        <w:t>建筑装修选用工业化内装部品，评价总分值为8分，并按下列规则评分：</w:t>
      </w:r>
    </w:p>
    <w:p>
      <w:pPr>
        <w:widowControl/>
        <w:spacing w:line="380" w:lineRule="exact"/>
        <w:ind w:firstLine="420" w:firstLineChars="200"/>
        <w:rPr>
          <w:color w:val="000000"/>
          <w:szCs w:val="20"/>
        </w:rPr>
      </w:pPr>
      <w:r>
        <w:rPr>
          <w:color w:val="000000"/>
          <w:szCs w:val="20"/>
        </w:rPr>
        <w:t>1建筑装修选用工业化内装部品占同类部品用量比例达到50%以上的部品种类，达到1种，得3分；</w:t>
      </w:r>
    </w:p>
    <w:p>
      <w:pPr>
        <w:widowControl/>
        <w:spacing w:line="380" w:lineRule="exact"/>
        <w:ind w:firstLine="420" w:firstLineChars="200"/>
        <w:rPr>
          <w:color w:val="000000"/>
          <w:szCs w:val="20"/>
        </w:rPr>
      </w:pPr>
      <w:r>
        <w:rPr>
          <w:color w:val="000000"/>
          <w:szCs w:val="20"/>
        </w:rPr>
        <w:t>2建筑装修选用工业化内装部品占同类部品用量比例达到50%以上的部品种类，达到3种，得5分；</w:t>
      </w:r>
    </w:p>
    <w:p>
      <w:pPr>
        <w:widowControl/>
        <w:spacing w:line="380" w:lineRule="exact"/>
        <w:ind w:firstLine="420" w:firstLineChars="200"/>
        <w:rPr>
          <w:color w:val="000000"/>
          <w:szCs w:val="20"/>
        </w:rPr>
      </w:pPr>
      <w:r>
        <w:rPr>
          <w:color w:val="000000"/>
          <w:szCs w:val="20"/>
        </w:rPr>
        <w:t>3建筑装修选用工业化内装部品占同类部品用量比例达到50%以上的部品种类，达到3种以上，得8分。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Style w:val="52"/>
          <w:rFonts w:hint="eastAsia" w:eastAsia="仿宋"/>
          <w:b/>
          <w:color w:val="000000"/>
          <w:szCs w:val="21"/>
          <w:u w:val="none"/>
        </w:rPr>
        <w:t>4.2.</w:t>
      </w:r>
      <w:r>
        <w:rPr>
          <w:rStyle w:val="52"/>
          <w:rFonts w:eastAsia="仿宋"/>
          <w:b/>
          <w:color w:val="000000"/>
          <w:szCs w:val="21"/>
          <w:u w:val="none"/>
        </w:rPr>
        <w:t>27</w:t>
      </w:r>
      <w:r>
        <w:rPr>
          <w:rStyle w:val="52"/>
          <w:rFonts w:hint="eastAsia" w:eastAsia="仿宋"/>
          <w:b/>
          <w:color w:val="000000"/>
          <w:szCs w:val="21"/>
          <w:u w:val="none"/>
        </w:rPr>
        <w:t xml:space="preserve"> </w:t>
      </w:r>
      <w:r>
        <w:rPr>
          <w:rStyle w:val="52"/>
          <w:rFonts w:hint="eastAsia" w:eastAsia="仿宋"/>
          <w:color w:val="000000"/>
          <w:szCs w:val="21"/>
          <w:u w:val="none"/>
        </w:rPr>
        <w:t xml:space="preserve"> </w:t>
      </w:r>
      <w:r>
        <w:rPr>
          <w:rFonts w:hint="eastAsia" w:eastAsia="仿宋"/>
          <w:color w:val="000000"/>
          <w:szCs w:val="21"/>
        </w:rPr>
        <w:t>本条适用于各类民用建筑的预评价、评价。</w:t>
      </w:r>
    </w:p>
    <w:p>
      <w:pPr>
        <w:widowControl/>
        <w:spacing w:line="380" w:lineRule="exact"/>
        <w:ind w:firstLine="420" w:firstLineChars="200"/>
        <w:rPr>
          <w:rFonts w:eastAsia="仿宋"/>
          <w:color w:val="000000"/>
          <w:szCs w:val="21"/>
        </w:rPr>
      </w:pPr>
      <w:r>
        <w:rPr>
          <w:rFonts w:hint="eastAsia" w:eastAsia="仿宋"/>
          <w:color w:val="000000"/>
          <w:szCs w:val="21"/>
        </w:rPr>
        <w:t>工业化内装部品主要包括整体卫浴、整体厨房、装配式吊顶、干式工法地面、装配式内墙、管线集成与设备设施等。</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建筑及装修图纸中相关做法施工图，工业化内装部品设计图纸及相关用量比例计算书；评价查阅建筑及装修图纸中相关做法竣工图，工业化内装部品设计图纸及相关用量比例计算书。</w:t>
      </w:r>
    </w:p>
    <w:p>
      <w:pPr>
        <w:widowControl/>
        <w:spacing w:line="380" w:lineRule="exact"/>
        <w:rPr>
          <w:color w:val="000000"/>
          <w:szCs w:val="20"/>
        </w:rPr>
      </w:pPr>
      <w:r>
        <w:rPr>
          <w:rStyle w:val="52"/>
          <w:rFonts w:hint="eastAsia" w:eastAsia="仿宋"/>
          <w:b/>
          <w:color w:val="000000"/>
          <w:szCs w:val="21"/>
          <w:u w:val="none"/>
        </w:rPr>
        <w:t>4.2.</w:t>
      </w:r>
      <w:r>
        <w:rPr>
          <w:rStyle w:val="52"/>
          <w:rFonts w:eastAsia="仿宋"/>
          <w:b/>
          <w:color w:val="000000"/>
          <w:szCs w:val="21"/>
          <w:u w:val="none"/>
        </w:rPr>
        <w:t>28</w:t>
      </w:r>
      <w:r>
        <w:rPr>
          <w:rStyle w:val="52"/>
          <w:rFonts w:hint="eastAsia" w:eastAsia="仿宋"/>
          <w:b/>
          <w:color w:val="000000"/>
          <w:szCs w:val="21"/>
          <w:u w:val="none"/>
        </w:rPr>
        <w:t xml:space="preserve">  </w:t>
      </w:r>
      <w:r>
        <w:rPr>
          <w:color w:val="000000"/>
          <w:szCs w:val="20"/>
        </w:rPr>
        <w:t>选用可循环材料、可再利用材料及利废建材，评价总分值为12分，并按下列规则分别评分并累计：</w:t>
      </w:r>
    </w:p>
    <w:p>
      <w:pPr>
        <w:widowControl/>
        <w:spacing w:line="380" w:lineRule="exact"/>
        <w:ind w:firstLine="420" w:firstLineChars="200"/>
        <w:rPr>
          <w:color w:val="000000"/>
          <w:szCs w:val="20"/>
        </w:rPr>
      </w:pPr>
      <w:r>
        <w:rPr>
          <w:color w:val="000000"/>
          <w:szCs w:val="20"/>
        </w:rPr>
        <w:t>1可再循环材料和可再利用材料用量比例，按下列规则评分：</w:t>
      </w:r>
    </w:p>
    <w:p>
      <w:pPr>
        <w:widowControl/>
        <w:spacing w:line="380" w:lineRule="exact"/>
        <w:ind w:firstLine="420" w:firstLineChars="200"/>
        <w:rPr>
          <w:color w:val="000000"/>
          <w:szCs w:val="20"/>
        </w:rPr>
      </w:pPr>
      <w:r>
        <w:rPr>
          <w:color w:val="000000"/>
          <w:szCs w:val="20"/>
        </w:rPr>
        <w:t>1）住宅建筑达到6%或公共建筑达到10%，得3分；</w:t>
      </w:r>
    </w:p>
    <w:p>
      <w:pPr>
        <w:widowControl/>
        <w:spacing w:line="380" w:lineRule="exact"/>
        <w:ind w:firstLine="420" w:firstLineChars="200"/>
        <w:rPr>
          <w:color w:val="000000"/>
          <w:szCs w:val="20"/>
        </w:rPr>
      </w:pPr>
      <w:r>
        <w:rPr>
          <w:color w:val="000000"/>
          <w:szCs w:val="20"/>
        </w:rPr>
        <w:t>2）住宅建筑达到10%或公共建筑达到15%，得6分。</w:t>
      </w:r>
    </w:p>
    <w:p>
      <w:pPr>
        <w:widowControl/>
        <w:spacing w:line="380" w:lineRule="exact"/>
        <w:ind w:firstLine="420" w:firstLineChars="200"/>
        <w:rPr>
          <w:color w:val="000000"/>
          <w:szCs w:val="20"/>
        </w:rPr>
      </w:pPr>
      <w:r>
        <w:rPr>
          <w:color w:val="000000"/>
          <w:szCs w:val="20"/>
        </w:rPr>
        <w:t>2利废建材选用及其用量比例，按下列规则评分：</w:t>
      </w:r>
    </w:p>
    <w:p>
      <w:pPr>
        <w:widowControl/>
        <w:spacing w:line="380" w:lineRule="exact"/>
        <w:ind w:firstLine="420" w:firstLineChars="200"/>
        <w:rPr>
          <w:color w:val="000000"/>
          <w:szCs w:val="20"/>
        </w:rPr>
      </w:pPr>
      <w:r>
        <w:rPr>
          <w:color w:val="000000"/>
          <w:szCs w:val="20"/>
        </w:rPr>
        <w:t>1）选用不少于一种的利废建材，且其用量占同类建材的用量比例不低于50%，得3分；</w:t>
      </w:r>
    </w:p>
    <w:p>
      <w:pPr>
        <w:widowControl/>
        <w:spacing w:line="380" w:lineRule="exact"/>
        <w:ind w:firstLine="420" w:firstLineChars="200"/>
        <w:rPr>
          <w:color w:val="000000"/>
          <w:szCs w:val="20"/>
        </w:rPr>
      </w:pPr>
      <w:r>
        <w:rPr>
          <w:color w:val="000000"/>
          <w:szCs w:val="20"/>
        </w:rPr>
        <w:t>2）选用不少于二种的利废建材，其用量占同类建材的用量比例不低于30%，得6分。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Style w:val="52"/>
          <w:rFonts w:hint="eastAsia" w:eastAsia="仿宋"/>
          <w:b/>
          <w:color w:val="000000"/>
          <w:szCs w:val="21"/>
          <w:u w:val="none"/>
        </w:rPr>
        <w:t>4.2.</w:t>
      </w:r>
      <w:r>
        <w:rPr>
          <w:rStyle w:val="52"/>
          <w:rFonts w:eastAsia="仿宋"/>
          <w:b/>
          <w:color w:val="000000"/>
          <w:szCs w:val="21"/>
          <w:u w:val="none"/>
        </w:rPr>
        <w:t>28</w:t>
      </w:r>
      <w:r>
        <w:rPr>
          <w:rStyle w:val="52"/>
          <w:rFonts w:hint="eastAsia" w:eastAsia="仿宋"/>
          <w:b/>
          <w:color w:val="000000"/>
          <w:szCs w:val="21"/>
          <w:u w:val="none"/>
        </w:rPr>
        <w:t xml:space="preserve">  </w:t>
      </w:r>
      <w:r>
        <w:rPr>
          <w:rFonts w:hint="eastAsia" w:eastAsia="仿宋"/>
          <w:color w:val="000000"/>
          <w:szCs w:val="21"/>
        </w:rPr>
        <w:t>本条适用于各类民用建筑全装修的预评价、评价。本条的最终得分，可在两款中选择1 款得分进行累计得分，最高不超过10 分。</w:t>
      </w:r>
    </w:p>
    <w:p>
      <w:pPr>
        <w:widowControl/>
        <w:spacing w:line="380" w:lineRule="exact"/>
        <w:rPr>
          <w:rFonts w:eastAsia="仿宋"/>
          <w:color w:val="000000"/>
          <w:szCs w:val="21"/>
        </w:rPr>
      </w:pPr>
      <w:r>
        <w:rPr>
          <w:rFonts w:hint="eastAsia" w:eastAsia="仿宋"/>
          <w:color w:val="000000"/>
          <w:szCs w:val="21"/>
        </w:rPr>
        <w:t>建筑材料的</w:t>
      </w:r>
    </w:p>
    <w:p>
      <w:pPr>
        <w:widowControl/>
        <w:spacing w:line="380" w:lineRule="exact"/>
        <w:ind w:firstLine="420" w:firstLineChars="200"/>
        <w:rPr>
          <w:rFonts w:eastAsia="仿宋"/>
          <w:color w:val="000000"/>
          <w:szCs w:val="21"/>
        </w:rPr>
      </w:pPr>
      <w:r>
        <w:rPr>
          <w:rFonts w:hint="eastAsia" w:eastAsia="仿宋"/>
          <w:color w:val="000000"/>
          <w:szCs w:val="21"/>
        </w:rPr>
        <w:t>循环利用是建筑节材与材料资源利用的重要内容。本条的设置旨在整体考量建筑材料的循环利用对于节材与材料资源利用的贡献，评价范围是永久性安装在工程中的建筑材料，不包括电梯等设备。有的建筑材料可以在不改变材料的物质形态情况下直接进行再利用，或经过简单组合、修复后可直接再利用，如有些材质的门、窗等。有的建筑材料需要通过改变物质形态才能实现循环利用，如难以直接回用的钢筋、玻璃等，可以回炉再生产。有的建筑材料则既可以直接再利用又可以回炉后再循环利用，例如标准尺寸的钢结构型材等。以上各类材料均可纳入本条范畴。</w:t>
      </w:r>
    </w:p>
    <w:p>
      <w:pPr>
        <w:widowControl/>
        <w:spacing w:line="380" w:lineRule="exact"/>
        <w:ind w:firstLine="420" w:firstLineChars="200"/>
        <w:rPr>
          <w:rFonts w:eastAsia="仿宋"/>
          <w:color w:val="000000"/>
          <w:szCs w:val="21"/>
        </w:rPr>
      </w:pPr>
      <w:r>
        <w:rPr>
          <w:rFonts w:hint="eastAsia" w:eastAsia="仿宋"/>
          <w:color w:val="000000"/>
          <w:szCs w:val="21"/>
        </w:rPr>
        <w:t>建筑中选用的可再循环建筑材料和可再利用建筑材料，可以减少生产加工新材料带来的资源、能源消耗和环境污染，具有良好的经济、社会和环境效益。</w:t>
      </w:r>
    </w:p>
    <w:p>
      <w:pPr>
        <w:widowControl/>
        <w:spacing w:line="380" w:lineRule="exact"/>
        <w:ind w:firstLine="420" w:firstLineChars="200"/>
        <w:rPr>
          <w:rFonts w:eastAsia="仿宋"/>
          <w:color w:val="000000"/>
          <w:szCs w:val="21"/>
        </w:rPr>
      </w:pPr>
      <w:r>
        <w:rPr>
          <w:rFonts w:hint="eastAsia" w:eastAsia="仿宋"/>
          <w:color w:val="000000"/>
          <w:szCs w:val="21"/>
        </w:rPr>
        <w:t>本条中的“以废弃物为原料生产的建筑材料”是指在满足安全和使用性能的前提下，使用废弃物等作为原材料生产出的建筑材料，其中废弃物主要包括建筑废弃物、工业废料和生活废弃物。在满足使用性能的前提下，鼓励利用建筑废弃混凝土，生产再生骨料，制作成混凝土砌块、水泥制品或配制再生混凝土；鼓励利用工业废料、农作物秸秆、建筑垃圾、淤泥为原料 制作成水泥、混凝土、墙体材料、保温材料等建筑材料；鼓励以工业副产品石膏制作成石膏制品；鼓励使用生活废弃物经处理后制成的建筑材料。</w:t>
      </w:r>
    </w:p>
    <w:p>
      <w:pPr>
        <w:widowControl/>
        <w:spacing w:line="380" w:lineRule="exact"/>
        <w:ind w:firstLine="420" w:firstLineChars="200"/>
        <w:rPr>
          <w:rFonts w:eastAsia="仿宋"/>
          <w:color w:val="000000"/>
          <w:szCs w:val="21"/>
        </w:rPr>
      </w:pPr>
      <w:r>
        <w:rPr>
          <w:rFonts w:hint="eastAsia" w:eastAsia="仿宋"/>
          <w:color w:val="000000"/>
          <w:szCs w:val="21"/>
        </w:rPr>
        <w:t>为保证废弃物使用量达到一定比例，本条第2 款要求若采用一种利废建材，以废弃物为原料生产的建筑材料重量占同类建筑材料总重量的比例不小于50%，且其中废弃物的掺量不低于30%，可得5 分。若采用二种以上利废建材，其用量占同类建材的用量比例不低于30%且其中废弃物的掺量不低于30%，可得10 分。若采用以废弃物为原料生产的建筑材料，应同时满足相应的国家或行业标准的要求。本条第2 款仅适用于评价，预评价中不参评。</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查阅工程概预算材料清单、可再循环材料和可再利用材料用量比例计算书，以及各种建筑材料的使用部位及使用量一览表；评价查阅工程决算材料清单、相应的产品检测报告、可再循环材料和可再利用材料用量比例计算书，以废充物为原料生产的建筑材料用量比例及建筑中废弃物的掺量，并审查其计算合理性及实际用量比例。</w:t>
      </w:r>
    </w:p>
    <w:p>
      <w:pPr>
        <w:widowControl/>
        <w:spacing w:line="380" w:lineRule="exact"/>
        <w:rPr>
          <w:color w:val="000000"/>
          <w:szCs w:val="20"/>
        </w:rPr>
      </w:pPr>
      <w:r>
        <w:rPr>
          <w:rStyle w:val="52"/>
          <w:rFonts w:hint="eastAsia" w:eastAsia="仿宋"/>
          <w:b/>
          <w:color w:val="000000"/>
          <w:szCs w:val="21"/>
          <w:u w:val="none"/>
        </w:rPr>
        <w:t>4.2.</w:t>
      </w:r>
      <w:r>
        <w:rPr>
          <w:rStyle w:val="52"/>
          <w:rFonts w:eastAsia="仿宋"/>
          <w:b/>
          <w:color w:val="000000"/>
          <w:szCs w:val="21"/>
          <w:u w:val="none"/>
        </w:rPr>
        <w:t>29</w:t>
      </w:r>
      <w:r>
        <w:rPr>
          <w:rStyle w:val="52"/>
          <w:rFonts w:hint="eastAsia" w:eastAsia="仿宋"/>
          <w:b/>
          <w:color w:val="000000"/>
          <w:szCs w:val="21"/>
          <w:u w:val="none"/>
        </w:rPr>
        <w:t xml:space="preserve">  </w:t>
      </w:r>
      <w:r>
        <w:rPr>
          <w:color w:val="000000"/>
          <w:szCs w:val="20"/>
        </w:rPr>
        <w:t>应用绿色建材，评价总分值为6分，并按下列规则评分：</w:t>
      </w:r>
    </w:p>
    <w:p>
      <w:pPr>
        <w:widowControl/>
        <w:spacing w:line="380" w:lineRule="exact"/>
        <w:ind w:firstLine="420" w:firstLineChars="200"/>
        <w:rPr>
          <w:color w:val="000000"/>
          <w:szCs w:val="20"/>
        </w:rPr>
      </w:pPr>
      <w:r>
        <w:rPr>
          <w:color w:val="000000"/>
          <w:szCs w:val="20"/>
        </w:rPr>
        <w:t>1绿色建材应用比例不低于30%，得2分；</w:t>
      </w:r>
    </w:p>
    <w:p>
      <w:pPr>
        <w:widowControl/>
        <w:spacing w:line="380" w:lineRule="exact"/>
        <w:ind w:firstLine="420" w:firstLineChars="200"/>
        <w:rPr>
          <w:color w:val="000000"/>
          <w:szCs w:val="20"/>
        </w:rPr>
      </w:pPr>
      <w:r>
        <w:rPr>
          <w:color w:val="000000"/>
          <w:szCs w:val="20"/>
        </w:rPr>
        <w:t>2绿色建材应用比例不低于50%，得4分；</w:t>
      </w:r>
    </w:p>
    <w:p>
      <w:pPr>
        <w:widowControl/>
        <w:spacing w:line="380" w:lineRule="exact"/>
        <w:ind w:firstLine="420" w:firstLineChars="200"/>
        <w:rPr>
          <w:color w:val="000000"/>
          <w:szCs w:val="20"/>
        </w:rPr>
      </w:pPr>
      <w:r>
        <w:rPr>
          <w:color w:val="000000"/>
          <w:szCs w:val="20"/>
        </w:rPr>
        <w:t>3绿色建材应用比例不低于70%，得6分。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80" w:lineRule="exact"/>
        <w:rPr>
          <w:rFonts w:eastAsia="仿宋"/>
          <w:color w:val="000000"/>
          <w:szCs w:val="21"/>
        </w:rPr>
      </w:pPr>
      <w:r>
        <w:rPr>
          <w:rStyle w:val="52"/>
          <w:rFonts w:hint="eastAsia" w:eastAsia="仿宋"/>
          <w:b/>
          <w:color w:val="000000"/>
          <w:szCs w:val="21"/>
          <w:u w:val="none"/>
        </w:rPr>
        <w:t>4.2.</w:t>
      </w:r>
      <w:r>
        <w:rPr>
          <w:rStyle w:val="52"/>
          <w:rFonts w:eastAsia="仿宋"/>
          <w:b/>
          <w:color w:val="000000"/>
          <w:szCs w:val="21"/>
          <w:u w:val="none"/>
        </w:rPr>
        <w:t>29</w:t>
      </w:r>
      <w:r>
        <w:rPr>
          <w:rStyle w:val="52"/>
          <w:rFonts w:hint="eastAsia" w:eastAsia="仿宋"/>
          <w:b/>
          <w:color w:val="000000"/>
          <w:szCs w:val="21"/>
          <w:u w:val="none"/>
        </w:rPr>
        <w:t xml:space="preserve">  </w:t>
      </w:r>
      <w:r>
        <w:rPr>
          <w:rFonts w:hint="eastAsia" w:eastAsia="仿宋"/>
          <w:color w:val="000000"/>
          <w:szCs w:val="21"/>
        </w:rPr>
        <w:t>本条适用于各类民用建筑全装修的预评价、评价。</w:t>
      </w:r>
    </w:p>
    <w:p>
      <w:pPr>
        <w:widowControl/>
        <w:spacing w:line="380" w:lineRule="exact"/>
        <w:ind w:firstLine="420" w:firstLineChars="200"/>
        <w:rPr>
          <w:rFonts w:eastAsia="仿宋"/>
          <w:color w:val="000000"/>
          <w:szCs w:val="21"/>
        </w:rPr>
      </w:pPr>
      <w:r>
        <w:rPr>
          <w:rFonts w:hint="eastAsia" w:eastAsia="仿宋"/>
          <w:color w:val="000000"/>
          <w:szCs w:val="21"/>
        </w:rPr>
        <w:t>本条的评价方法为：预评价</w:t>
      </w:r>
      <w:r>
        <w:rPr>
          <w:rFonts w:eastAsia="仿宋"/>
          <w:color w:val="000000"/>
          <w:szCs w:val="21"/>
        </w:rPr>
        <w:t>查阅相关设计文件，</w:t>
      </w:r>
      <w:r>
        <w:rPr>
          <w:rFonts w:hint="eastAsia" w:eastAsia="仿宋"/>
          <w:color w:val="000000"/>
          <w:szCs w:val="21"/>
        </w:rPr>
        <w:t>评价查阅相关竣工图、计算分析报告、检测报告、工程决算材料清单、绿色建材标识证书、施工记录，必要时现场核查。</w:t>
      </w:r>
    </w:p>
    <w:bookmarkEnd w:id="69"/>
    <w:bookmarkEnd w:id="70"/>
    <w:bookmarkEnd w:id="71"/>
    <w:p>
      <w:pPr>
        <w:widowControl/>
        <w:jc w:val="center"/>
        <w:rPr>
          <w:rFonts w:eastAsia="方正小标宋简体"/>
          <w:color w:val="000000"/>
          <w:sz w:val="28"/>
          <w:szCs w:val="20"/>
        </w:rPr>
      </w:pPr>
      <w:bookmarkStart w:id="73" w:name="_Toc413850566"/>
      <w:bookmarkStart w:id="74" w:name="_Toc413848239"/>
      <w:bookmarkStart w:id="75" w:name="_Toc324770993"/>
      <w:bookmarkStart w:id="76" w:name="_Toc363714397"/>
      <w:bookmarkStart w:id="77" w:name="_Toc331422081"/>
      <w:bookmarkStart w:id="78" w:name="_Toc324770989"/>
      <w:bookmarkStart w:id="79" w:name="_Toc413849799"/>
      <w:bookmarkStart w:id="80" w:name="_Toc331065733"/>
      <w:bookmarkStart w:id="81" w:name="_Toc433209292"/>
      <w:r>
        <w:rPr>
          <w:rFonts w:eastAsia="方正小标宋简体"/>
          <w:color w:val="000000"/>
          <w:sz w:val="28"/>
          <w:szCs w:val="20"/>
        </w:rPr>
        <w:br w:type="page"/>
      </w:r>
      <w:bookmarkEnd w:id="73"/>
      <w:bookmarkEnd w:id="74"/>
      <w:bookmarkEnd w:id="75"/>
      <w:bookmarkEnd w:id="76"/>
      <w:bookmarkEnd w:id="77"/>
      <w:bookmarkEnd w:id="78"/>
      <w:bookmarkEnd w:id="79"/>
      <w:bookmarkEnd w:id="80"/>
      <w:bookmarkEnd w:id="81"/>
      <w:bookmarkStart w:id="82" w:name="_Toc413848297"/>
      <w:bookmarkStart w:id="83" w:name="_Toc433209295"/>
      <w:bookmarkStart w:id="84" w:name="_Toc413849857"/>
      <w:bookmarkStart w:id="85" w:name="_Toc413850624"/>
      <w:bookmarkStart w:id="86" w:name="_Toc363714400"/>
      <w:bookmarkStart w:id="87" w:name="_Toc349912337"/>
      <w:bookmarkStart w:id="88" w:name="_Toc413850794"/>
      <w:bookmarkStart w:id="89" w:name="_Toc413850027"/>
      <w:bookmarkStart w:id="90" w:name="_Toc270844160"/>
      <w:bookmarkStart w:id="91" w:name="_Toc279308609"/>
      <w:bookmarkStart w:id="92" w:name="_Toc413848467"/>
      <w:r>
        <w:rPr>
          <w:rFonts w:hint="eastAsia" w:eastAsia="方正小标宋简体"/>
          <w:color w:val="000000"/>
          <w:sz w:val="28"/>
          <w:szCs w:val="20"/>
        </w:rPr>
        <w:t>5</w:t>
      </w:r>
      <w:r>
        <w:rPr>
          <w:rFonts w:eastAsia="方正小标宋简体"/>
          <w:color w:val="000000"/>
          <w:sz w:val="28"/>
          <w:szCs w:val="20"/>
        </w:rPr>
        <w:t xml:space="preserve">  </w:t>
      </w:r>
      <w:bookmarkEnd w:id="82"/>
      <w:bookmarkEnd w:id="83"/>
      <w:bookmarkEnd w:id="84"/>
      <w:bookmarkEnd w:id="85"/>
      <w:bookmarkEnd w:id="86"/>
      <w:bookmarkEnd w:id="87"/>
      <w:r>
        <w:rPr>
          <w:rFonts w:hint="eastAsia" w:eastAsia="方正小标宋简体"/>
          <w:color w:val="000000"/>
          <w:sz w:val="28"/>
          <w:szCs w:val="20"/>
        </w:rPr>
        <w:t>材料与</w:t>
      </w:r>
      <w:r>
        <w:rPr>
          <w:rFonts w:eastAsia="方正小标宋简体"/>
          <w:color w:val="000000"/>
          <w:sz w:val="28"/>
          <w:szCs w:val="20"/>
        </w:rPr>
        <w:t>部品</w:t>
      </w:r>
    </w:p>
    <w:p>
      <w:pPr>
        <w:snapToGrid w:val="0"/>
        <w:spacing w:before="156" w:beforeLines="50" w:after="312" w:afterLines="100" w:line="380" w:lineRule="exact"/>
        <w:jc w:val="center"/>
        <w:outlineLvl w:val="1"/>
        <w:rPr>
          <w:rFonts w:eastAsia="黑体"/>
          <w:color w:val="000000"/>
        </w:rPr>
      </w:pPr>
      <w:bookmarkStart w:id="93" w:name="_Toc324770994"/>
      <w:bookmarkStart w:id="94" w:name="_Toc413848298"/>
      <w:bookmarkStart w:id="95" w:name="_Toc413850625"/>
      <w:bookmarkStart w:id="96" w:name="_Toc413849858"/>
      <w:bookmarkStart w:id="97" w:name="_Toc433209296"/>
      <w:bookmarkStart w:id="98" w:name="_Toc363714401"/>
      <w:bookmarkStart w:id="99" w:name="_Toc349912338"/>
      <w:r>
        <w:rPr>
          <w:rFonts w:hint="eastAsia" w:eastAsia="黑体"/>
          <w:b/>
          <w:color w:val="000000"/>
        </w:rPr>
        <w:t>5</w:t>
      </w:r>
      <w:r>
        <w:rPr>
          <w:rFonts w:eastAsia="黑体"/>
          <w:b/>
          <w:color w:val="000000"/>
        </w:rPr>
        <w:t>.1</w:t>
      </w:r>
      <w:r>
        <w:rPr>
          <w:rFonts w:eastAsia="黑体"/>
          <w:color w:val="000000"/>
        </w:rPr>
        <w:t xml:space="preserve">  控制项</w:t>
      </w:r>
      <w:bookmarkEnd w:id="93"/>
      <w:bookmarkEnd w:id="94"/>
      <w:bookmarkEnd w:id="95"/>
      <w:bookmarkEnd w:id="96"/>
      <w:bookmarkEnd w:id="97"/>
      <w:bookmarkEnd w:id="98"/>
      <w:bookmarkEnd w:id="99"/>
    </w:p>
    <w:p>
      <w:pPr>
        <w:pStyle w:val="59"/>
        <w:spacing w:line="360" w:lineRule="exact"/>
        <w:ind w:firstLine="0" w:firstLineChars="0"/>
        <w:rPr>
          <w:color w:val="000000"/>
          <w:sz w:val="21"/>
          <w:szCs w:val="20"/>
        </w:rPr>
      </w:pPr>
      <w:bookmarkStart w:id="100" w:name="_Toc413848299"/>
      <w:bookmarkStart w:id="101" w:name="_Toc413850626"/>
      <w:bookmarkStart w:id="102" w:name="_Toc413849859"/>
      <w:r>
        <w:rPr>
          <w:rFonts w:hint="eastAsia"/>
          <w:b/>
          <w:bCs/>
          <w:color w:val="000000"/>
          <w:sz w:val="21"/>
          <w:szCs w:val="21"/>
        </w:rPr>
        <w:t xml:space="preserve">5.1.1 </w:t>
      </w:r>
      <w:r>
        <w:rPr>
          <w:rFonts w:hint="eastAsia"/>
          <w:color w:val="000000"/>
          <w:sz w:val="21"/>
          <w:szCs w:val="20"/>
        </w:rPr>
        <w:t xml:space="preserve"> 室内装饰装修材料、部品和构件的燃烧性能和燃烧性能等级应满足现行国家标准《建筑设计防火规范》</w:t>
      </w:r>
      <w:r>
        <w:rPr>
          <w:color w:val="000000"/>
          <w:sz w:val="21"/>
          <w:szCs w:val="20"/>
        </w:rPr>
        <w:t>GB50016</w:t>
      </w:r>
      <w:r>
        <w:rPr>
          <w:rFonts w:hint="eastAsia"/>
          <w:color w:val="000000"/>
          <w:sz w:val="21"/>
          <w:szCs w:val="20"/>
        </w:rPr>
        <w:t>、《建筑材料及制品燃烧性能分级》</w:t>
      </w:r>
      <w:r>
        <w:rPr>
          <w:color w:val="000000"/>
          <w:sz w:val="21"/>
          <w:szCs w:val="20"/>
        </w:rPr>
        <w:t>GB8624</w:t>
      </w:r>
      <w:r>
        <w:rPr>
          <w:rFonts w:hint="eastAsia"/>
          <w:color w:val="000000"/>
          <w:sz w:val="21"/>
          <w:szCs w:val="20"/>
        </w:rPr>
        <w:t>和《建筑内部装修设计防火规范》</w:t>
      </w:r>
      <w:r>
        <w:rPr>
          <w:color w:val="000000"/>
          <w:sz w:val="21"/>
          <w:szCs w:val="20"/>
        </w:rPr>
        <w:t>GB50222</w:t>
      </w:r>
      <w:r>
        <w:rPr>
          <w:rFonts w:hint="eastAsia"/>
          <w:color w:val="000000"/>
          <w:sz w:val="21"/>
          <w:szCs w:val="20"/>
        </w:rPr>
        <w:t>的规定要求。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color w:val="000000"/>
        </w:rPr>
      </w:pPr>
      <w:r>
        <w:rPr>
          <w:rFonts w:hint="eastAsia" w:eastAsia="宋体"/>
          <w:b/>
          <w:bCs/>
          <w:color w:val="000000"/>
          <w:szCs w:val="21"/>
        </w:rPr>
        <w:t>5</w:t>
      </w:r>
      <w:r>
        <w:rPr>
          <w:rFonts w:eastAsia="宋体"/>
          <w:b/>
          <w:bCs/>
          <w:color w:val="000000"/>
          <w:szCs w:val="21"/>
        </w:rPr>
        <w:t xml:space="preserve">.1.1  </w:t>
      </w:r>
      <w:r>
        <w:rPr>
          <w:rFonts w:hint="eastAsia" w:eastAsia="华文仿宋"/>
          <w:color w:val="000000"/>
        </w:rPr>
        <w:t>本条适用于各类民用建筑室内全装修的评价。</w:t>
      </w:r>
    </w:p>
    <w:p>
      <w:pPr>
        <w:adjustRightInd w:val="0"/>
        <w:spacing w:line="360" w:lineRule="atLeast"/>
        <w:ind w:firstLine="420" w:firstLineChars="200"/>
        <w:outlineLvl w:val="2"/>
        <w:rPr>
          <w:rFonts w:eastAsia="华文仿宋"/>
          <w:color w:val="000000"/>
        </w:rPr>
      </w:pPr>
      <w:r>
        <w:rPr>
          <w:rFonts w:hint="eastAsia" w:eastAsia="华文仿宋"/>
          <w:color w:val="000000"/>
        </w:rPr>
        <w:t>室内装饰装修材料、部品和构件的燃烧性能和燃烧性能等级应满足现行国家标准《建筑材料及制品燃烧性能分级》GB8624、《建筑内部装修设计防火规范》GB5022和《建筑设计防火规范》GB50016的规定要求。室内装饰装修材料、部品和构件的燃烧性能和燃烧性能等级参见表5.1.1-1~表5.1.1-6。</w:t>
      </w:r>
    </w:p>
    <w:p>
      <w:pPr>
        <w:adjustRightInd w:val="0"/>
        <w:spacing w:line="360" w:lineRule="atLeast"/>
        <w:ind w:firstLine="360" w:firstLineChars="200"/>
        <w:jc w:val="center"/>
        <w:outlineLvl w:val="2"/>
        <w:rPr>
          <w:rFonts w:eastAsia="黑体"/>
          <w:color w:val="000000"/>
          <w:sz w:val="18"/>
        </w:rPr>
      </w:pPr>
      <w:r>
        <w:rPr>
          <w:rFonts w:eastAsia="黑体"/>
          <w:color w:val="000000"/>
          <w:sz w:val="18"/>
        </w:rPr>
        <w:t>表</w:t>
      </w:r>
      <w:r>
        <w:rPr>
          <w:rFonts w:hint="eastAsia" w:eastAsia="华文仿宋"/>
          <w:color w:val="000000"/>
        </w:rPr>
        <w:t>5.1.1-1</w:t>
      </w:r>
      <w:r>
        <w:rPr>
          <w:rFonts w:hint="eastAsia" w:eastAsia="黑体"/>
          <w:color w:val="000000"/>
          <w:sz w:val="18"/>
        </w:rPr>
        <w:t xml:space="preserve">  </w:t>
      </w:r>
      <w:r>
        <w:rPr>
          <w:rFonts w:eastAsia="黑体"/>
          <w:color w:val="000000"/>
          <w:sz w:val="18"/>
        </w:rPr>
        <w:t>单层、多层民用建筑内部各部位装修材料的燃烧性能等级</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956"/>
        <w:gridCol w:w="546"/>
        <w:gridCol w:w="546"/>
        <w:gridCol w:w="547"/>
        <w:gridCol w:w="546"/>
        <w:gridCol w:w="532"/>
        <w:gridCol w:w="503"/>
        <w:gridCol w:w="504"/>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建筑物及场所</w:t>
            </w:r>
          </w:p>
        </w:tc>
        <w:tc>
          <w:tcPr>
            <w:tcW w:w="95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建筑规模、性质</w:t>
            </w:r>
          </w:p>
        </w:tc>
        <w:tc>
          <w:tcPr>
            <w:tcW w:w="4280" w:type="dxa"/>
            <w:gridSpan w:val="8"/>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装修材料燃烧性能等级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50" w:type="dxa"/>
            <w:vMerge w:val="continue"/>
            <w:vAlign w:val="center"/>
          </w:tcPr>
          <w:p>
            <w:pPr>
              <w:jc w:val="center"/>
              <w:rPr>
                <w:rFonts w:ascii="Calibri" w:hAnsi="Calibri" w:eastAsia="宋体" w:cs="黑体"/>
                <w:color w:val="000000"/>
                <w:kern w:val="2"/>
                <w:sz w:val="15"/>
                <w:szCs w:val="15"/>
              </w:rPr>
            </w:pPr>
          </w:p>
        </w:tc>
        <w:tc>
          <w:tcPr>
            <w:tcW w:w="956" w:type="dxa"/>
            <w:vMerge w:val="continue"/>
            <w:vAlign w:val="center"/>
          </w:tcPr>
          <w:p>
            <w:pPr>
              <w:jc w:val="center"/>
              <w:rPr>
                <w:rFonts w:ascii="Calibri" w:hAnsi="Calibri" w:eastAsia="宋体" w:cs="黑体"/>
                <w:color w:val="000000"/>
                <w:kern w:val="2"/>
                <w:sz w:val="15"/>
                <w:szCs w:val="15"/>
              </w:rPr>
            </w:pPr>
          </w:p>
        </w:tc>
        <w:tc>
          <w:tcPr>
            <w:tcW w:w="54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顶棚</w:t>
            </w:r>
          </w:p>
        </w:tc>
        <w:tc>
          <w:tcPr>
            <w:tcW w:w="54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墙面</w:t>
            </w:r>
          </w:p>
        </w:tc>
        <w:tc>
          <w:tcPr>
            <w:tcW w:w="547"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地面</w:t>
            </w:r>
          </w:p>
        </w:tc>
        <w:tc>
          <w:tcPr>
            <w:tcW w:w="54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隔断</w:t>
            </w:r>
          </w:p>
        </w:tc>
        <w:tc>
          <w:tcPr>
            <w:tcW w:w="532"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固定家具</w:t>
            </w:r>
          </w:p>
        </w:tc>
        <w:tc>
          <w:tcPr>
            <w:tcW w:w="1007" w:type="dxa"/>
            <w:gridSpan w:val="2"/>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装饰织物</w:t>
            </w:r>
          </w:p>
        </w:tc>
        <w:tc>
          <w:tcPr>
            <w:tcW w:w="55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其他装饰材料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650" w:type="dxa"/>
            <w:vMerge w:val="continue"/>
            <w:vAlign w:val="center"/>
          </w:tcPr>
          <w:p>
            <w:pPr>
              <w:jc w:val="center"/>
              <w:rPr>
                <w:rFonts w:ascii="Calibri" w:hAnsi="Calibri" w:eastAsia="宋体" w:cs="黑体"/>
                <w:color w:val="000000"/>
                <w:kern w:val="2"/>
                <w:sz w:val="15"/>
                <w:szCs w:val="15"/>
              </w:rPr>
            </w:pPr>
          </w:p>
        </w:tc>
        <w:tc>
          <w:tcPr>
            <w:tcW w:w="956" w:type="dxa"/>
            <w:vMerge w:val="continue"/>
            <w:vAlign w:val="center"/>
          </w:tcPr>
          <w:p>
            <w:pPr>
              <w:jc w:val="center"/>
              <w:rPr>
                <w:rFonts w:ascii="Calibri" w:hAnsi="Calibri" w:eastAsia="宋体" w:cs="黑体"/>
                <w:color w:val="000000"/>
                <w:kern w:val="2"/>
                <w:sz w:val="15"/>
                <w:szCs w:val="15"/>
              </w:rPr>
            </w:pPr>
          </w:p>
        </w:tc>
        <w:tc>
          <w:tcPr>
            <w:tcW w:w="546" w:type="dxa"/>
            <w:vMerge w:val="continue"/>
            <w:vAlign w:val="center"/>
          </w:tcPr>
          <w:p>
            <w:pPr>
              <w:jc w:val="center"/>
              <w:rPr>
                <w:rFonts w:ascii="Calibri" w:hAnsi="Calibri" w:eastAsia="宋体" w:cs="黑体"/>
                <w:color w:val="000000"/>
                <w:kern w:val="2"/>
                <w:sz w:val="15"/>
                <w:szCs w:val="15"/>
              </w:rPr>
            </w:pPr>
          </w:p>
        </w:tc>
        <w:tc>
          <w:tcPr>
            <w:tcW w:w="546" w:type="dxa"/>
            <w:vMerge w:val="continue"/>
            <w:vAlign w:val="center"/>
          </w:tcPr>
          <w:p>
            <w:pPr>
              <w:jc w:val="center"/>
              <w:rPr>
                <w:rFonts w:ascii="Calibri" w:hAnsi="Calibri" w:eastAsia="宋体" w:cs="黑体"/>
                <w:color w:val="000000"/>
                <w:kern w:val="2"/>
                <w:sz w:val="15"/>
                <w:szCs w:val="15"/>
              </w:rPr>
            </w:pPr>
          </w:p>
        </w:tc>
        <w:tc>
          <w:tcPr>
            <w:tcW w:w="547" w:type="dxa"/>
            <w:vMerge w:val="continue"/>
            <w:vAlign w:val="center"/>
          </w:tcPr>
          <w:p>
            <w:pPr>
              <w:jc w:val="center"/>
              <w:rPr>
                <w:rFonts w:ascii="Calibri" w:hAnsi="Calibri" w:eastAsia="宋体" w:cs="黑体"/>
                <w:color w:val="000000"/>
                <w:kern w:val="2"/>
                <w:sz w:val="15"/>
                <w:szCs w:val="15"/>
              </w:rPr>
            </w:pPr>
          </w:p>
        </w:tc>
        <w:tc>
          <w:tcPr>
            <w:tcW w:w="546" w:type="dxa"/>
            <w:vMerge w:val="continue"/>
            <w:vAlign w:val="center"/>
          </w:tcPr>
          <w:p>
            <w:pPr>
              <w:jc w:val="center"/>
              <w:rPr>
                <w:rFonts w:ascii="Calibri" w:hAnsi="Calibri" w:eastAsia="宋体" w:cs="黑体"/>
                <w:color w:val="000000"/>
                <w:kern w:val="2"/>
                <w:sz w:val="15"/>
                <w:szCs w:val="15"/>
              </w:rPr>
            </w:pPr>
          </w:p>
        </w:tc>
        <w:tc>
          <w:tcPr>
            <w:tcW w:w="532" w:type="dxa"/>
            <w:vMerge w:val="continue"/>
            <w:vAlign w:val="center"/>
          </w:tcPr>
          <w:p>
            <w:pPr>
              <w:jc w:val="center"/>
              <w:rPr>
                <w:rFonts w:ascii="Calibri" w:hAnsi="Calibri" w:eastAsia="宋体" w:cs="黑体"/>
                <w:color w:val="000000"/>
                <w:kern w:val="2"/>
                <w:sz w:val="15"/>
                <w:szCs w:val="15"/>
              </w:rPr>
            </w:pPr>
          </w:p>
        </w:tc>
        <w:tc>
          <w:tcPr>
            <w:tcW w:w="503"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窗帘</w:t>
            </w:r>
          </w:p>
        </w:tc>
        <w:tc>
          <w:tcPr>
            <w:tcW w:w="504"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帷幕</w:t>
            </w:r>
          </w:p>
        </w:tc>
        <w:tc>
          <w:tcPr>
            <w:tcW w:w="556" w:type="dxa"/>
            <w:vMerge w:val="continue"/>
            <w:vAlign w:val="center"/>
          </w:tcPr>
          <w:p>
            <w:pPr>
              <w:jc w:val="center"/>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5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住宅</w:t>
            </w:r>
          </w:p>
        </w:tc>
        <w:tc>
          <w:tcPr>
            <w:tcW w:w="95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高级住宅</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54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53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03"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04" w:type="dxa"/>
            <w:vAlign w:val="center"/>
          </w:tcPr>
          <w:p>
            <w:pPr>
              <w:jc w:val="center"/>
              <w:rPr>
                <w:rFonts w:ascii="Calibri" w:hAnsi="Calibri" w:eastAsia="宋体" w:cs="黑体"/>
                <w:color w:val="000000"/>
                <w:kern w:val="2"/>
                <w:sz w:val="15"/>
                <w:szCs w:val="15"/>
              </w:rPr>
            </w:pPr>
          </w:p>
        </w:tc>
        <w:tc>
          <w:tcPr>
            <w:tcW w:w="55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50" w:type="dxa"/>
            <w:vMerge w:val="continue"/>
            <w:vAlign w:val="center"/>
          </w:tcPr>
          <w:p>
            <w:pPr>
              <w:jc w:val="center"/>
              <w:rPr>
                <w:rFonts w:ascii="Calibri" w:hAnsi="Calibri" w:eastAsia="宋体" w:cs="黑体"/>
                <w:color w:val="000000"/>
                <w:kern w:val="2"/>
                <w:sz w:val="15"/>
                <w:szCs w:val="15"/>
              </w:rPr>
            </w:pPr>
          </w:p>
        </w:tc>
        <w:tc>
          <w:tcPr>
            <w:tcW w:w="95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普通住宅</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4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4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3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503" w:type="dxa"/>
            <w:vAlign w:val="center"/>
          </w:tcPr>
          <w:p>
            <w:pPr>
              <w:rPr>
                <w:rFonts w:ascii="Calibri" w:hAnsi="Calibri" w:eastAsia="宋体" w:cs="黑体"/>
                <w:color w:val="000000"/>
                <w:kern w:val="2"/>
                <w:sz w:val="15"/>
                <w:szCs w:val="15"/>
              </w:rPr>
            </w:pPr>
          </w:p>
        </w:tc>
        <w:tc>
          <w:tcPr>
            <w:tcW w:w="504" w:type="dxa"/>
            <w:vAlign w:val="center"/>
          </w:tcPr>
          <w:p>
            <w:pPr>
              <w:jc w:val="center"/>
              <w:rPr>
                <w:rFonts w:ascii="Calibri" w:hAnsi="Calibri" w:eastAsia="宋体" w:cs="黑体"/>
                <w:color w:val="000000"/>
                <w:kern w:val="2"/>
                <w:sz w:val="15"/>
                <w:szCs w:val="15"/>
              </w:rPr>
            </w:pPr>
          </w:p>
        </w:tc>
        <w:tc>
          <w:tcPr>
            <w:tcW w:w="556" w:type="dxa"/>
            <w:vAlign w:val="center"/>
          </w:tcPr>
          <w:p>
            <w:pPr>
              <w:rPr>
                <w:rFonts w:ascii="Calibri" w:hAnsi="Calibri" w:eastAsia="宋体" w:cs="黑体"/>
                <w:color w:val="000000"/>
                <w:kern w:val="2"/>
                <w:sz w:val="15"/>
                <w:szCs w:val="15"/>
              </w:rPr>
            </w:pPr>
          </w:p>
        </w:tc>
      </w:tr>
    </w:tbl>
    <w:p>
      <w:pPr>
        <w:adjustRightInd w:val="0"/>
        <w:spacing w:line="360" w:lineRule="atLeast"/>
        <w:ind w:firstLine="360" w:firstLineChars="200"/>
        <w:jc w:val="center"/>
        <w:outlineLvl w:val="2"/>
        <w:rPr>
          <w:rFonts w:eastAsia="黑体"/>
          <w:color w:val="000000"/>
          <w:sz w:val="18"/>
        </w:rPr>
      </w:pPr>
      <w:r>
        <w:rPr>
          <w:rFonts w:hint="eastAsia" w:eastAsia="黑体"/>
          <w:color w:val="000000"/>
          <w:sz w:val="18"/>
        </w:rPr>
        <w:t>表</w:t>
      </w:r>
      <w:r>
        <w:rPr>
          <w:rFonts w:hint="eastAsia" w:eastAsia="华文仿宋"/>
          <w:color w:val="000000"/>
        </w:rPr>
        <w:t>5.1.1-2</w:t>
      </w:r>
      <w:r>
        <w:rPr>
          <w:rFonts w:hint="eastAsia" w:eastAsia="黑体"/>
          <w:color w:val="000000"/>
          <w:sz w:val="18"/>
        </w:rPr>
        <w:t xml:space="preserve">  高层民用建筑</w:t>
      </w:r>
      <w:r>
        <w:rPr>
          <w:rFonts w:eastAsia="黑体"/>
          <w:color w:val="000000"/>
          <w:sz w:val="18"/>
        </w:rPr>
        <w:t>内部各部位</w:t>
      </w:r>
      <w:r>
        <w:rPr>
          <w:rFonts w:hint="eastAsia" w:eastAsia="黑体"/>
          <w:color w:val="000000"/>
          <w:sz w:val="18"/>
        </w:rPr>
        <w:t>装修材料</w:t>
      </w:r>
      <w:r>
        <w:rPr>
          <w:rFonts w:eastAsia="黑体"/>
          <w:color w:val="000000"/>
          <w:sz w:val="18"/>
        </w:rPr>
        <w:t>的</w:t>
      </w:r>
      <w:r>
        <w:rPr>
          <w:rFonts w:hint="eastAsia" w:eastAsia="黑体"/>
          <w:color w:val="000000"/>
          <w:sz w:val="18"/>
        </w:rPr>
        <w:t>燃烧性能等级</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21"/>
        <w:gridCol w:w="410"/>
        <w:gridCol w:w="408"/>
        <w:gridCol w:w="405"/>
        <w:gridCol w:w="416"/>
        <w:gridCol w:w="408"/>
        <w:gridCol w:w="410"/>
        <w:gridCol w:w="410"/>
        <w:gridCol w:w="410"/>
        <w:gridCol w:w="41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48"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建筑物</w:t>
            </w:r>
          </w:p>
        </w:tc>
        <w:tc>
          <w:tcPr>
            <w:tcW w:w="821"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建筑规模、性质</w:t>
            </w:r>
          </w:p>
        </w:tc>
        <w:tc>
          <w:tcPr>
            <w:tcW w:w="4417" w:type="dxa"/>
            <w:gridSpan w:val="10"/>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装修材料燃烧性能等级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48" w:type="dxa"/>
            <w:vMerge w:val="continue"/>
            <w:vAlign w:val="center"/>
          </w:tcPr>
          <w:p>
            <w:pPr>
              <w:jc w:val="center"/>
              <w:rPr>
                <w:rFonts w:ascii="Calibri" w:hAnsi="Calibri" w:eastAsia="宋体" w:cs="黑体"/>
                <w:color w:val="000000"/>
                <w:kern w:val="2"/>
                <w:sz w:val="15"/>
                <w:szCs w:val="15"/>
              </w:rPr>
            </w:pPr>
          </w:p>
        </w:tc>
        <w:tc>
          <w:tcPr>
            <w:tcW w:w="821" w:type="dxa"/>
            <w:vMerge w:val="continue"/>
            <w:vAlign w:val="center"/>
          </w:tcPr>
          <w:p>
            <w:pPr>
              <w:jc w:val="center"/>
              <w:rPr>
                <w:rFonts w:ascii="Calibri" w:hAnsi="Calibri" w:eastAsia="宋体" w:cs="黑体"/>
                <w:color w:val="000000"/>
                <w:kern w:val="2"/>
                <w:sz w:val="15"/>
                <w:szCs w:val="15"/>
              </w:rPr>
            </w:pPr>
          </w:p>
        </w:tc>
        <w:tc>
          <w:tcPr>
            <w:tcW w:w="41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顶棚</w:t>
            </w:r>
          </w:p>
        </w:tc>
        <w:tc>
          <w:tcPr>
            <w:tcW w:w="408"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墙面</w:t>
            </w:r>
          </w:p>
        </w:tc>
        <w:tc>
          <w:tcPr>
            <w:tcW w:w="405"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地面</w:t>
            </w:r>
          </w:p>
        </w:tc>
        <w:tc>
          <w:tcPr>
            <w:tcW w:w="416"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隔断</w:t>
            </w:r>
          </w:p>
        </w:tc>
        <w:tc>
          <w:tcPr>
            <w:tcW w:w="408"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固定家具</w:t>
            </w:r>
          </w:p>
        </w:tc>
        <w:tc>
          <w:tcPr>
            <w:tcW w:w="1640" w:type="dxa"/>
            <w:gridSpan w:val="4"/>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装饰织物</w:t>
            </w:r>
          </w:p>
        </w:tc>
        <w:tc>
          <w:tcPr>
            <w:tcW w:w="73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其他装饰材料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48" w:type="dxa"/>
            <w:vMerge w:val="continue"/>
            <w:vAlign w:val="center"/>
          </w:tcPr>
          <w:p>
            <w:pPr>
              <w:jc w:val="center"/>
              <w:rPr>
                <w:rFonts w:ascii="Calibri" w:hAnsi="Calibri" w:eastAsia="宋体" w:cs="黑体"/>
                <w:color w:val="000000"/>
                <w:kern w:val="2"/>
                <w:sz w:val="15"/>
                <w:szCs w:val="15"/>
              </w:rPr>
            </w:pPr>
          </w:p>
        </w:tc>
        <w:tc>
          <w:tcPr>
            <w:tcW w:w="821" w:type="dxa"/>
            <w:vMerge w:val="continue"/>
            <w:vAlign w:val="center"/>
          </w:tcPr>
          <w:p>
            <w:pPr>
              <w:jc w:val="center"/>
              <w:rPr>
                <w:rFonts w:ascii="Calibri" w:hAnsi="Calibri" w:eastAsia="宋体" w:cs="黑体"/>
                <w:color w:val="000000"/>
                <w:kern w:val="2"/>
                <w:sz w:val="15"/>
                <w:szCs w:val="15"/>
              </w:rPr>
            </w:pPr>
          </w:p>
        </w:tc>
        <w:tc>
          <w:tcPr>
            <w:tcW w:w="410" w:type="dxa"/>
            <w:vMerge w:val="continue"/>
            <w:vAlign w:val="center"/>
          </w:tcPr>
          <w:p>
            <w:pPr>
              <w:jc w:val="center"/>
              <w:rPr>
                <w:rFonts w:ascii="Calibri" w:hAnsi="Calibri" w:eastAsia="宋体" w:cs="黑体"/>
                <w:color w:val="000000"/>
                <w:kern w:val="2"/>
                <w:sz w:val="15"/>
                <w:szCs w:val="15"/>
              </w:rPr>
            </w:pPr>
          </w:p>
        </w:tc>
        <w:tc>
          <w:tcPr>
            <w:tcW w:w="408" w:type="dxa"/>
            <w:vMerge w:val="continue"/>
            <w:vAlign w:val="center"/>
          </w:tcPr>
          <w:p>
            <w:pPr>
              <w:jc w:val="center"/>
              <w:rPr>
                <w:rFonts w:ascii="Calibri" w:hAnsi="Calibri" w:eastAsia="宋体" w:cs="黑体"/>
                <w:color w:val="000000"/>
                <w:kern w:val="2"/>
                <w:sz w:val="15"/>
                <w:szCs w:val="15"/>
              </w:rPr>
            </w:pPr>
          </w:p>
        </w:tc>
        <w:tc>
          <w:tcPr>
            <w:tcW w:w="405" w:type="dxa"/>
            <w:vMerge w:val="continue"/>
            <w:vAlign w:val="center"/>
          </w:tcPr>
          <w:p>
            <w:pPr>
              <w:jc w:val="center"/>
              <w:rPr>
                <w:rFonts w:ascii="Calibri" w:hAnsi="Calibri" w:eastAsia="宋体" w:cs="黑体"/>
                <w:color w:val="000000"/>
                <w:kern w:val="2"/>
                <w:sz w:val="15"/>
                <w:szCs w:val="15"/>
              </w:rPr>
            </w:pPr>
          </w:p>
        </w:tc>
        <w:tc>
          <w:tcPr>
            <w:tcW w:w="416" w:type="dxa"/>
            <w:vMerge w:val="continue"/>
            <w:vAlign w:val="center"/>
          </w:tcPr>
          <w:p>
            <w:pPr>
              <w:jc w:val="center"/>
              <w:rPr>
                <w:rFonts w:ascii="Calibri" w:hAnsi="Calibri" w:eastAsia="宋体" w:cs="黑体"/>
                <w:color w:val="000000"/>
                <w:kern w:val="2"/>
                <w:sz w:val="15"/>
                <w:szCs w:val="15"/>
              </w:rPr>
            </w:pPr>
          </w:p>
        </w:tc>
        <w:tc>
          <w:tcPr>
            <w:tcW w:w="408" w:type="dxa"/>
            <w:vMerge w:val="continue"/>
            <w:vAlign w:val="center"/>
          </w:tcPr>
          <w:p>
            <w:pPr>
              <w:jc w:val="center"/>
              <w:rPr>
                <w:rFonts w:ascii="Calibri" w:hAnsi="Calibri" w:eastAsia="宋体" w:cs="黑体"/>
                <w:color w:val="000000"/>
                <w:kern w:val="2"/>
                <w:sz w:val="15"/>
                <w:szCs w:val="15"/>
              </w:rPr>
            </w:pP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窗帘</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帷幕</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床罩</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家具布包</w:t>
            </w:r>
          </w:p>
        </w:tc>
        <w:tc>
          <w:tcPr>
            <w:tcW w:w="730" w:type="dxa"/>
            <w:vMerge w:val="continue"/>
            <w:vAlign w:val="center"/>
          </w:tcPr>
          <w:p>
            <w:pPr>
              <w:jc w:val="center"/>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48"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住宅、普通旅馆</w:t>
            </w:r>
          </w:p>
        </w:tc>
        <w:tc>
          <w:tcPr>
            <w:tcW w:w="821"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一类普通旅馆高级住宅</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A</w:t>
            </w:r>
          </w:p>
        </w:tc>
        <w:tc>
          <w:tcPr>
            <w:tcW w:w="408"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405"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408"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0" w:type="dxa"/>
            <w:vAlign w:val="center"/>
          </w:tcPr>
          <w:p>
            <w:pPr>
              <w:jc w:val="center"/>
              <w:rPr>
                <w:rFonts w:ascii="Calibri" w:hAnsi="Calibri" w:eastAsia="宋体" w:cs="黑体"/>
                <w:color w:val="000000"/>
                <w:kern w:val="2"/>
                <w:sz w:val="15"/>
                <w:szCs w:val="15"/>
              </w:rPr>
            </w:pP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73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 w:hRule="atLeast"/>
          <w:jc w:val="center"/>
        </w:trPr>
        <w:tc>
          <w:tcPr>
            <w:tcW w:w="648" w:type="dxa"/>
            <w:vMerge w:val="continue"/>
            <w:vAlign w:val="center"/>
          </w:tcPr>
          <w:p>
            <w:pPr>
              <w:jc w:val="center"/>
              <w:rPr>
                <w:rFonts w:ascii="Calibri" w:hAnsi="Calibri" w:eastAsia="宋体" w:cs="黑体"/>
                <w:color w:val="000000"/>
                <w:kern w:val="2"/>
                <w:sz w:val="15"/>
                <w:szCs w:val="15"/>
              </w:rPr>
            </w:pPr>
          </w:p>
        </w:tc>
        <w:tc>
          <w:tcPr>
            <w:tcW w:w="821"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二类普通旅馆高级住宅</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408"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405"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08"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0" w:type="dxa"/>
            <w:vAlign w:val="center"/>
          </w:tcPr>
          <w:p>
            <w:pPr>
              <w:jc w:val="center"/>
              <w:rPr>
                <w:rFonts w:ascii="Calibri" w:hAnsi="Calibri" w:eastAsia="宋体" w:cs="黑体"/>
                <w:color w:val="000000"/>
                <w:kern w:val="2"/>
                <w:sz w:val="15"/>
                <w:szCs w:val="15"/>
              </w:rPr>
            </w:pP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1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73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r>
    </w:tbl>
    <w:p>
      <w:pPr>
        <w:adjustRightInd w:val="0"/>
        <w:spacing w:line="360" w:lineRule="atLeast"/>
        <w:ind w:firstLine="360" w:firstLineChars="200"/>
        <w:jc w:val="center"/>
        <w:outlineLvl w:val="2"/>
        <w:rPr>
          <w:rFonts w:eastAsia="黑体"/>
          <w:color w:val="000000"/>
          <w:sz w:val="18"/>
        </w:rPr>
      </w:pPr>
      <w:r>
        <w:rPr>
          <w:rFonts w:hint="eastAsia" w:eastAsia="黑体"/>
          <w:color w:val="000000"/>
          <w:sz w:val="18"/>
        </w:rPr>
        <w:t>表</w:t>
      </w:r>
      <w:r>
        <w:rPr>
          <w:rFonts w:hint="eastAsia" w:eastAsia="华文仿宋"/>
          <w:color w:val="000000"/>
        </w:rPr>
        <w:t>5.1.1-3</w:t>
      </w:r>
      <w:r>
        <w:rPr>
          <w:rFonts w:hint="eastAsia" w:eastAsia="黑体"/>
          <w:color w:val="000000"/>
          <w:sz w:val="18"/>
        </w:rPr>
        <w:t xml:space="preserve">  </w:t>
      </w:r>
      <w:r>
        <w:rPr>
          <w:rFonts w:eastAsia="黑体"/>
          <w:color w:val="000000"/>
          <w:sz w:val="18"/>
          <w:szCs w:val="18"/>
        </w:rPr>
        <w:t>装修材料燃烧性能</w:t>
      </w:r>
      <w:r>
        <w:rPr>
          <w:rFonts w:hint="eastAsia" w:eastAsia="黑体"/>
          <w:color w:val="000000"/>
          <w:sz w:val="18"/>
        </w:rPr>
        <w:t>等级</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0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等级</w:t>
            </w:r>
          </w:p>
        </w:tc>
        <w:tc>
          <w:tcPr>
            <w:tcW w:w="2883" w:type="dxa"/>
            <w:vAlign w:val="top"/>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装修材料燃烧性能</w:t>
            </w:r>
            <w:r>
              <w:rPr>
                <w:rFonts w:hint="eastAsia" w:ascii="Calibri" w:hAnsi="Calibri" w:eastAsia="宋体" w:cs="黑体"/>
                <w:color w:val="000000"/>
                <w:kern w:val="2"/>
                <w:sz w:val="15"/>
                <w:szCs w:val="15"/>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0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A</w:t>
            </w:r>
          </w:p>
        </w:tc>
        <w:tc>
          <w:tcPr>
            <w:tcW w:w="288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不燃性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0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1</w:t>
            </w:r>
          </w:p>
        </w:tc>
        <w:tc>
          <w:tcPr>
            <w:tcW w:w="2883" w:type="dxa"/>
            <w:vAlign w:val="top"/>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难燃性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0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2883" w:type="dxa"/>
            <w:vAlign w:val="top"/>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可燃性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03" w:type="dxa"/>
            <w:vAlign w:val="top"/>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3</w:t>
            </w:r>
          </w:p>
        </w:tc>
        <w:tc>
          <w:tcPr>
            <w:tcW w:w="2883" w:type="dxa"/>
            <w:vAlign w:val="top"/>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易燃性</w:t>
            </w:r>
          </w:p>
        </w:tc>
      </w:tr>
    </w:tbl>
    <w:p>
      <w:pPr>
        <w:jc w:val="center"/>
        <w:rPr>
          <w:rFonts w:eastAsia="黑体"/>
          <w:color w:val="000000"/>
          <w:sz w:val="18"/>
          <w:szCs w:val="18"/>
        </w:rPr>
      </w:pPr>
      <w:r>
        <w:rPr>
          <w:rFonts w:hint="eastAsia" w:eastAsia="黑体"/>
          <w:color w:val="000000"/>
          <w:sz w:val="18"/>
        </w:rPr>
        <w:t>表</w:t>
      </w:r>
      <w:r>
        <w:rPr>
          <w:rFonts w:hint="eastAsia" w:eastAsia="华文仿宋"/>
          <w:color w:val="000000"/>
        </w:rPr>
        <w:t>5.1.1-4</w:t>
      </w:r>
      <w:r>
        <w:rPr>
          <w:rFonts w:hint="eastAsia" w:eastAsia="黑体"/>
          <w:color w:val="000000"/>
          <w:sz w:val="18"/>
        </w:rPr>
        <w:t xml:space="preserve">  </w:t>
      </w:r>
      <w:r>
        <w:rPr>
          <w:rFonts w:hint="eastAsia" w:eastAsia="黑体"/>
          <w:color w:val="000000"/>
          <w:sz w:val="18"/>
          <w:szCs w:val="18"/>
        </w:rPr>
        <w:t>常</w:t>
      </w:r>
      <w:r>
        <w:rPr>
          <w:rFonts w:eastAsia="黑体"/>
          <w:color w:val="000000"/>
          <w:sz w:val="18"/>
          <w:szCs w:val="18"/>
        </w:rPr>
        <w:t>用建筑内部装修材料燃烧性能等级划分举例</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16"/>
        <w:gridCol w:w="4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5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材料类别</w:t>
            </w:r>
          </w:p>
        </w:tc>
        <w:tc>
          <w:tcPr>
            <w:tcW w:w="61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级别</w:t>
            </w:r>
          </w:p>
        </w:tc>
        <w:tc>
          <w:tcPr>
            <w:tcW w:w="442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材料举例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5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各部位材料</w:t>
            </w:r>
          </w:p>
        </w:tc>
        <w:tc>
          <w:tcPr>
            <w:tcW w:w="616"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A</w:t>
            </w:r>
          </w:p>
        </w:tc>
        <w:tc>
          <w:tcPr>
            <w:tcW w:w="4420"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花岗石、大理石、水磨石、水泥制品</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混凝土制品、</w:t>
            </w:r>
            <w:r>
              <w:rPr>
                <w:rFonts w:hint="eastAsia" w:ascii="Calibri" w:hAnsi="Calibri" w:eastAsia="宋体" w:cs="黑体"/>
                <w:color w:val="000000"/>
                <w:kern w:val="2"/>
                <w:sz w:val="15"/>
                <w:szCs w:val="15"/>
              </w:rPr>
              <w:t>石膏板</w:t>
            </w:r>
            <w:r>
              <w:rPr>
                <w:rFonts w:ascii="Calibri" w:hAnsi="Calibri" w:eastAsia="宋体" w:cs="黑体"/>
                <w:color w:val="000000"/>
                <w:kern w:val="2"/>
                <w:sz w:val="15"/>
                <w:szCs w:val="15"/>
              </w:rPr>
              <w:t>、石灰制品</w:t>
            </w:r>
            <w:r>
              <w:rPr>
                <w:rFonts w:hint="eastAsia" w:ascii="Calibri" w:hAnsi="Calibri" w:eastAsia="宋体" w:cs="黑体"/>
                <w:color w:val="000000"/>
                <w:kern w:val="2"/>
                <w:sz w:val="15"/>
                <w:szCs w:val="15"/>
              </w:rPr>
              <w:t>、粘土制品</w:t>
            </w:r>
            <w:r>
              <w:rPr>
                <w:rFonts w:ascii="Calibri" w:hAnsi="Calibri" w:eastAsia="宋体" w:cs="黑体"/>
                <w:color w:val="000000"/>
                <w:kern w:val="2"/>
                <w:sz w:val="15"/>
                <w:szCs w:val="15"/>
              </w:rPr>
              <w:t>、玻璃、瓷砖、马赛克、钢铁、铝、铜合金等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5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顶棚</w:t>
            </w:r>
            <w:r>
              <w:rPr>
                <w:rFonts w:ascii="Calibri" w:hAnsi="Calibri" w:eastAsia="宋体" w:cs="黑体"/>
                <w:color w:val="000000"/>
                <w:kern w:val="2"/>
                <w:sz w:val="15"/>
                <w:szCs w:val="15"/>
              </w:rPr>
              <w:t>材料</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4420"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纸</w:t>
            </w:r>
            <w:r>
              <w:rPr>
                <w:rFonts w:hint="eastAsia" w:ascii="Calibri" w:hAnsi="Calibri" w:eastAsia="宋体" w:cs="黑体"/>
                <w:color w:val="000000"/>
                <w:kern w:val="2"/>
                <w:sz w:val="15"/>
                <w:szCs w:val="15"/>
              </w:rPr>
              <w:t>面</w:t>
            </w:r>
            <w:r>
              <w:rPr>
                <w:rFonts w:ascii="Calibri" w:hAnsi="Calibri" w:eastAsia="宋体" w:cs="黑体"/>
                <w:color w:val="000000"/>
                <w:kern w:val="2"/>
                <w:sz w:val="15"/>
                <w:szCs w:val="15"/>
              </w:rPr>
              <w:t>石膏板</w:t>
            </w:r>
            <w:r>
              <w:rPr>
                <w:rFonts w:hint="eastAsia" w:ascii="Calibri" w:hAnsi="Calibri" w:eastAsia="宋体" w:cs="黑体"/>
                <w:color w:val="000000"/>
                <w:kern w:val="2"/>
                <w:sz w:val="15"/>
                <w:szCs w:val="15"/>
              </w:rPr>
              <w:t>、纤维</w:t>
            </w:r>
            <w:r>
              <w:rPr>
                <w:rFonts w:ascii="Calibri" w:hAnsi="Calibri" w:eastAsia="宋体" w:cs="黑体"/>
                <w:color w:val="000000"/>
                <w:kern w:val="2"/>
                <w:sz w:val="15"/>
                <w:szCs w:val="15"/>
              </w:rPr>
              <w:t>石膏板、水泥</w:t>
            </w:r>
            <w:r>
              <w:rPr>
                <w:rFonts w:hint="eastAsia" w:ascii="Calibri" w:hAnsi="Calibri" w:eastAsia="宋体" w:cs="黑体"/>
                <w:color w:val="000000"/>
                <w:kern w:val="2"/>
                <w:sz w:val="15"/>
                <w:szCs w:val="15"/>
              </w:rPr>
              <w:t>刨花板、</w:t>
            </w:r>
            <w:r>
              <w:rPr>
                <w:rFonts w:ascii="Calibri" w:hAnsi="Calibri" w:eastAsia="宋体" w:cs="黑体"/>
                <w:color w:val="000000"/>
                <w:kern w:val="2"/>
                <w:sz w:val="15"/>
                <w:szCs w:val="15"/>
              </w:rPr>
              <w:t>,矿棉装饰吸声板、玻璃棉装饰吸声板、珍珠岩装饰吸声板、难燃胶合板</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难燃中密度纤维板、岩棉装饰板、难燃木材</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铝箔复合材料、难燃酚醛胶合板、</w:t>
            </w:r>
            <w:r>
              <w:rPr>
                <w:rFonts w:hint="eastAsia" w:ascii="Calibri" w:hAnsi="Calibri" w:eastAsia="宋体" w:cs="黑体"/>
                <w:color w:val="000000"/>
                <w:kern w:val="2"/>
                <w:sz w:val="15"/>
                <w:szCs w:val="15"/>
              </w:rPr>
              <w:t>铝箔</w:t>
            </w:r>
            <w:r>
              <w:rPr>
                <w:rFonts w:ascii="Calibri" w:hAnsi="Calibri" w:eastAsia="宋体" w:cs="黑体"/>
                <w:color w:val="000000"/>
                <w:kern w:val="2"/>
                <w:sz w:val="15"/>
                <w:szCs w:val="15"/>
              </w:rPr>
              <w:t>玻璃钢</w:t>
            </w:r>
            <w:r>
              <w:rPr>
                <w:rFonts w:hint="eastAsia" w:ascii="Calibri" w:hAnsi="Calibri" w:eastAsia="宋体" w:cs="黑体"/>
                <w:color w:val="000000"/>
                <w:kern w:val="2"/>
                <w:sz w:val="15"/>
                <w:szCs w:val="15"/>
              </w:rPr>
              <w:t>复合</w:t>
            </w:r>
            <w:r>
              <w:rPr>
                <w:rFonts w:ascii="Calibri" w:hAnsi="Calibri" w:eastAsia="宋体" w:cs="黑体"/>
                <w:color w:val="000000"/>
                <w:kern w:val="2"/>
                <w:sz w:val="15"/>
                <w:szCs w:val="15"/>
              </w:rPr>
              <w:t>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5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墙面材料</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4420"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纸</w:t>
            </w:r>
            <w:r>
              <w:rPr>
                <w:rFonts w:hint="eastAsia" w:ascii="Calibri" w:hAnsi="Calibri" w:eastAsia="宋体" w:cs="黑体"/>
                <w:color w:val="000000"/>
                <w:kern w:val="2"/>
                <w:sz w:val="15"/>
                <w:szCs w:val="15"/>
              </w:rPr>
              <w:t>面</w:t>
            </w:r>
            <w:r>
              <w:rPr>
                <w:rFonts w:ascii="Calibri" w:hAnsi="Calibri" w:eastAsia="宋体" w:cs="黑体"/>
                <w:color w:val="000000"/>
                <w:kern w:val="2"/>
                <w:sz w:val="15"/>
                <w:szCs w:val="15"/>
              </w:rPr>
              <w:t>石膏板</w:t>
            </w:r>
            <w:r>
              <w:rPr>
                <w:rFonts w:hint="eastAsia" w:ascii="Calibri" w:hAnsi="Calibri" w:eastAsia="宋体" w:cs="黑体"/>
                <w:color w:val="000000"/>
                <w:kern w:val="2"/>
                <w:sz w:val="15"/>
                <w:szCs w:val="15"/>
              </w:rPr>
              <w:t>、纤维</w:t>
            </w:r>
            <w:r>
              <w:rPr>
                <w:rFonts w:ascii="Calibri" w:hAnsi="Calibri" w:eastAsia="宋体" w:cs="黑体"/>
                <w:color w:val="000000"/>
                <w:kern w:val="2"/>
                <w:sz w:val="15"/>
                <w:szCs w:val="15"/>
              </w:rPr>
              <w:t>石膏板、水泥</w:t>
            </w:r>
            <w:r>
              <w:rPr>
                <w:rFonts w:hint="eastAsia" w:ascii="Calibri" w:hAnsi="Calibri" w:eastAsia="宋体" w:cs="黑体"/>
                <w:color w:val="000000"/>
                <w:kern w:val="2"/>
                <w:sz w:val="15"/>
                <w:szCs w:val="15"/>
              </w:rPr>
              <w:t>刨花板、</w:t>
            </w:r>
            <w:r>
              <w:rPr>
                <w:rFonts w:ascii="Calibri" w:hAnsi="Calibri" w:eastAsia="宋体" w:cs="黑体"/>
                <w:color w:val="000000"/>
                <w:kern w:val="2"/>
                <w:sz w:val="15"/>
                <w:szCs w:val="15"/>
              </w:rPr>
              <w:t>矿棉板、玻璃棉板、珍珠岩板</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难燃胶合板</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难燃中密度维板</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防火塑料装饰板、难燃双面</w:t>
            </w:r>
            <w:r>
              <w:rPr>
                <w:rFonts w:hint="eastAsia" w:ascii="Calibri" w:hAnsi="Calibri" w:eastAsia="宋体" w:cs="黑体"/>
                <w:color w:val="000000"/>
                <w:kern w:val="2"/>
                <w:sz w:val="15"/>
                <w:szCs w:val="15"/>
              </w:rPr>
              <w:t>刨花板、多彩涂料、</w:t>
            </w:r>
            <w:r>
              <w:rPr>
                <w:rFonts w:ascii="Calibri" w:hAnsi="Calibri" w:eastAsia="宋体" w:cs="黑体"/>
                <w:color w:val="000000"/>
                <w:kern w:val="2"/>
                <w:sz w:val="15"/>
                <w:szCs w:val="15"/>
              </w:rPr>
              <w:t>难燃墙纸</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难燃墙布</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难燃仿花岗岩装饰板、氢氧镁</w:t>
            </w:r>
            <w:r>
              <w:rPr>
                <w:rFonts w:hint="eastAsia" w:ascii="Calibri" w:hAnsi="Calibri" w:eastAsia="宋体" w:cs="黑体"/>
                <w:color w:val="000000"/>
                <w:kern w:val="2"/>
                <w:sz w:val="15"/>
                <w:szCs w:val="15"/>
              </w:rPr>
              <w:t>水泥</w:t>
            </w:r>
            <w:r>
              <w:rPr>
                <w:rFonts w:ascii="Calibri" w:hAnsi="Calibri" w:eastAsia="宋体" w:cs="黑体"/>
                <w:color w:val="000000"/>
                <w:kern w:val="2"/>
                <w:sz w:val="15"/>
                <w:szCs w:val="15"/>
              </w:rPr>
              <w:t>经装配式墙板、难燃玻璃钢平板、PVC塑料护墙板、轻质高强</w:t>
            </w:r>
            <w:r>
              <w:rPr>
                <w:rFonts w:hint="eastAsia" w:ascii="Calibri" w:hAnsi="Calibri" w:eastAsia="宋体" w:cs="黑体"/>
                <w:color w:val="000000"/>
                <w:kern w:val="2"/>
                <w:sz w:val="15"/>
                <w:szCs w:val="15"/>
              </w:rPr>
              <w:t>复合墙</w:t>
            </w:r>
            <w:r>
              <w:rPr>
                <w:rFonts w:ascii="Calibri" w:hAnsi="Calibri" w:eastAsia="宋体" w:cs="黑体"/>
                <w:color w:val="000000"/>
                <w:kern w:val="2"/>
                <w:sz w:val="15"/>
                <w:szCs w:val="15"/>
              </w:rPr>
              <w:t>板、阻燃</w:t>
            </w:r>
            <w:r>
              <w:rPr>
                <w:rFonts w:hint="eastAsia" w:ascii="Calibri" w:hAnsi="Calibri" w:eastAsia="宋体" w:cs="黑体"/>
                <w:color w:val="000000"/>
                <w:kern w:val="2"/>
                <w:sz w:val="15"/>
                <w:szCs w:val="15"/>
              </w:rPr>
              <w:t>模</w:t>
            </w:r>
            <w:r>
              <w:rPr>
                <w:rFonts w:ascii="Calibri" w:hAnsi="Calibri" w:eastAsia="宋体" w:cs="黑体"/>
                <w:color w:val="000000"/>
                <w:kern w:val="2"/>
                <w:sz w:val="15"/>
                <w:szCs w:val="15"/>
              </w:rPr>
              <w:t>压木质复合板材</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彩色阻燃人造板、难燃玻璃钢等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850"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墙面材料</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各类天然木材、木制人造板、竹材、纸制装饰板，装饰微薄本贴面板、印刷木纹人造板、塑料贴面装饰板、聚酯装饰板，复塑装饰板、塑纤板、胶合板、塑料壁纸、无纺贴墙布、墙布复合壁纸、天然材料壁纸、人造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5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地面材料</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硬PVC塑料地板、水泥刨花板、水泥木丝板、氯丁橡胶地板等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50" w:type="dxa"/>
            <w:vMerge w:val="continue"/>
            <w:vAlign w:val="center"/>
          </w:tcPr>
          <w:p>
            <w:pPr>
              <w:jc w:val="center"/>
              <w:rPr>
                <w:rFonts w:ascii="Calibri" w:hAnsi="Calibri" w:eastAsia="宋体" w:cs="黑体"/>
                <w:color w:val="000000"/>
                <w:kern w:val="2"/>
                <w:sz w:val="15"/>
                <w:szCs w:val="15"/>
              </w:rPr>
            </w:pP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半硬质PVC塑料地板、PVC卷材地板，木地板氯伦地毯等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2" w:hRule="atLeast"/>
          <w:jc w:val="center"/>
        </w:trPr>
        <w:tc>
          <w:tcPr>
            <w:tcW w:w="85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装饰织物</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经阻燃处理的各类难燃织物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850" w:type="dxa"/>
            <w:vMerge w:val="continue"/>
            <w:vAlign w:val="center"/>
          </w:tcPr>
          <w:p>
            <w:pPr>
              <w:jc w:val="center"/>
              <w:rPr>
                <w:rFonts w:ascii="Calibri" w:hAnsi="Calibri" w:eastAsia="宋体" w:cs="黑体"/>
                <w:color w:val="000000"/>
                <w:kern w:val="2"/>
                <w:sz w:val="15"/>
                <w:szCs w:val="15"/>
              </w:rPr>
            </w:pP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纯毛装饰布、纯麻装饰布、经阻燃处理的其他织物等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85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其他装饰材料</w:t>
            </w: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聚氯乙烯塑料、酚醛塑料、聚碳酸酯塑料、聚四氟乙烯塑料、三氯氰胺、脲醛塑料、硅树脂塑料装饰型材、经阻烯处理的各类织物等，另见顶棚材料和墙面材料内中的有关材料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jc w:val="center"/>
        </w:trPr>
        <w:tc>
          <w:tcPr>
            <w:tcW w:w="850" w:type="dxa"/>
            <w:vMerge w:val="continue"/>
            <w:vAlign w:val="center"/>
          </w:tcPr>
          <w:p>
            <w:pPr>
              <w:jc w:val="center"/>
              <w:rPr>
                <w:rFonts w:ascii="Calibri" w:hAnsi="Calibri" w:eastAsia="宋体" w:cs="黑体"/>
                <w:color w:val="000000"/>
                <w:kern w:val="2"/>
                <w:sz w:val="15"/>
                <w:szCs w:val="15"/>
              </w:rPr>
            </w:pPr>
          </w:p>
        </w:tc>
        <w:tc>
          <w:tcPr>
            <w:tcW w:w="616"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hint="eastAsia" w:ascii="Calibri" w:hAnsi="Calibri" w:eastAsia="宋体" w:cs="黑体"/>
                <w:color w:val="000000"/>
                <w:kern w:val="2"/>
                <w:sz w:val="15"/>
                <w:szCs w:val="15"/>
                <w:vertAlign w:val="subscript"/>
              </w:rPr>
              <w:t>2</w:t>
            </w:r>
          </w:p>
        </w:tc>
        <w:tc>
          <w:tcPr>
            <w:tcW w:w="4420"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经阻燃处理的聚乙烯、聚丙烯、聚氨酯、聚苯乙烯、玻璃钢、化纤织物、木制品等</w:t>
            </w:r>
          </w:p>
        </w:tc>
      </w:tr>
    </w:tbl>
    <w:p>
      <w:pPr>
        <w:jc w:val="center"/>
        <w:rPr>
          <w:color w:val="000000"/>
        </w:rPr>
      </w:pPr>
      <w:r>
        <w:rPr>
          <w:rFonts w:hint="eastAsia" w:eastAsia="黑体"/>
          <w:color w:val="000000"/>
          <w:sz w:val="18"/>
        </w:rPr>
        <w:t>表</w:t>
      </w:r>
      <w:r>
        <w:rPr>
          <w:rFonts w:hint="eastAsia" w:eastAsia="华文仿宋"/>
          <w:color w:val="000000"/>
        </w:rPr>
        <w:t>5.1.1-5</w:t>
      </w:r>
      <w:r>
        <w:rPr>
          <w:rFonts w:hint="eastAsia" w:eastAsia="黑体"/>
          <w:color w:val="000000"/>
          <w:sz w:val="18"/>
        </w:rPr>
        <w:t xml:space="preserve">  窗帘幕布、家具制品装饰用织物燃烧性能等级和分级判据</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499"/>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燃烧性能等级</w:t>
            </w:r>
          </w:p>
        </w:tc>
        <w:tc>
          <w:tcPr>
            <w:tcW w:w="249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试验方法</w:t>
            </w:r>
          </w:p>
        </w:tc>
        <w:tc>
          <w:tcPr>
            <w:tcW w:w="235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1</w:t>
            </w:r>
          </w:p>
        </w:tc>
        <w:tc>
          <w:tcPr>
            <w:tcW w:w="2499"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《纺织品  燃烧性能试验氧指数法》GB/T 5A54</w:t>
            </w:r>
          </w:p>
          <w:p>
            <w:pPr>
              <w:rPr>
                <w:rFonts w:ascii="Calibri" w:hAnsi="Calibri" w:eastAsia="宋体" w:cs="黑体"/>
                <w:color w:val="000000"/>
                <w:kern w:val="2"/>
                <w:sz w:val="15"/>
                <w:szCs w:val="15"/>
              </w:rPr>
            </w:pPr>
            <w:r>
              <w:rPr>
                <w:rFonts w:ascii="Calibri" w:hAnsi="Calibri" w:eastAsia="宋体" w:cs="黑体"/>
                <w:color w:val="000000"/>
                <w:kern w:val="2"/>
                <w:sz w:val="15"/>
                <w:szCs w:val="15"/>
              </w:rPr>
              <w:t>《纺织品  燃烧性能  垂直方向损毁长度、阴燃和续燃时间的测定》B/T 5455</w:t>
            </w:r>
          </w:p>
        </w:tc>
        <w:tc>
          <w:tcPr>
            <w:tcW w:w="2358"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氧指数OI≥32.0%;；</w:t>
            </w:r>
          </w:p>
          <w:p>
            <w:pPr>
              <w:rPr>
                <w:rFonts w:ascii="Calibri" w:hAnsi="Calibri" w:eastAsia="宋体" w:cs="黑体"/>
                <w:color w:val="000000"/>
                <w:kern w:val="2"/>
                <w:sz w:val="15"/>
                <w:szCs w:val="15"/>
              </w:rPr>
            </w:pPr>
            <w:r>
              <w:rPr>
                <w:rFonts w:ascii="Calibri" w:hAnsi="Calibri" w:eastAsia="宋体" w:cs="黑体"/>
                <w:color w:val="000000"/>
                <w:kern w:val="2"/>
                <w:sz w:val="15"/>
                <w:szCs w:val="15"/>
              </w:rPr>
              <w:t>损毁长度≤150mm，续燃时间≤5s，阴燃时间≤15s</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燃烧滴落物未引起脱脂棉燃烧或阴燃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2</w:t>
            </w:r>
          </w:p>
        </w:tc>
        <w:tc>
          <w:tcPr>
            <w:tcW w:w="2499"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GB/T 5454</w:t>
            </w:r>
          </w:p>
          <w:p>
            <w:pPr>
              <w:rPr>
                <w:rFonts w:ascii="Calibri" w:hAnsi="Calibri" w:eastAsia="宋体" w:cs="黑体"/>
                <w:color w:val="000000"/>
                <w:kern w:val="2"/>
                <w:sz w:val="15"/>
                <w:szCs w:val="15"/>
              </w:rPr>
            </w:pPr>
            <w:r>
              <w:rPr>
                <w:rFonts w:ascii="Calibri" w:hAnsi="Calibri" w:eastAsia="宋体" w:cs="黑体"/>
                <w:color w:val="000000"/>
                <w:kern w:val="2"/>
                <w:sz w:val="15"/>
                <w:szCs w:val="15"/>
              </w:rPr>
              <w:t>GB/T 545</w:t>
            </w:r>
            <w:r>
              <w:rPr>
                <w:rFonts w:hint="eastAsia" w:ascii="Calibri" w:hAnsi="Calibri" w:eastAsia="宋体" w:cs="黑体"/>
                <w:color w:val="000000"/>
                <w:kern w:val="2"/>
                <w:sz w:val="15"/>
                <w:szCs w:val="15"/>
              </w:rPr>
              <w:t>5</w:t>
            </w:r>
          </w:p>
        </w:tc>
        <w:tc>
          <w:tcPr>
            <w:tcW w:w="2358"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氧指数OI≥</w:t>
            </w:r>
            <w:r>
              <w:rPr>
                <w:rFonts w:hint="eastAsia" w:ascii="Calibri" w:hAnsi="Calibri" w:eastAsia="宋体" w:cs="黑体"/>
                <w:color w:val="000000"/>
                <w:kern w:val="2"/>
                <w:sz w:val="15"/>
                <w:szCs w:val="15"/>
              </w:rPr>
              <w:t>26</w:t>
            </w:r>
            <w:r>
              <w:rPr>
                <w:rFonts w:ascii="Calibri" w:hAnsi="Calibri" w:eastAsia="宋体" w:cs="黑体"/>
                <w:color w:val="000000"/>
                <w:kern w:val="2"/>
                <w:sz w:val="15"/>
                <w:szCs w:val="15"/>
              </w:rPr>
              <w:t>.0%;；</w:t>
            </w:r>
          </w:p>
          <w:p>
            <w:pPr>
              <w:rPr>
                <w:rFonts w:ascii="Calibri" w:hAnsi="Calibri" w:eastAsia="宋体" w:cs="黑体"/>
                <w:color w:val="000000"/>
                <w:kern w:val="2"/>
                <w:sz w:val="15"/>
                <w:szCs w:val="15"/>
              </w:rPr>
            </w:pPr>
            <w:r>
              <w:rPr>
                <w:rFonts w:ascii="Calibri" w:hAnsi="Calibri" w:eastAsia="宋体" w:cs="黑体"/>
                <w:color w:val="000000"/>
                <w:kern w:val="2"/>
                <w:sz w:val="15"/>
                <w:szCs w:val="15"/>
              </w:rPr>
              <w:t>损毁长度≤</w:t>
            </w:r>
            <w:r>
              <w:rPr>
                <w:rFonts w:hint="eastAsia" w:ascii="Calibri" w:hAnsi="Calibri" w:eastAsia="宋体" w:cs="黑体"/>
                <w:color w:val="000000"/>
                <w:kern w:val="2"/>
                <w:sz w:val="15"/>
                <w:szCs w:val="15"/>
              </w:rPr>
              <w:t>20</w:t>
            </w:r>
            <w:r>
              <w:rPr>
                <w:rFonts w:ascii="Calibri" w:hAnsi="Calibri" w:eastAsia="宋体" w:cs="黑体"/>
                <w:color w:val="000000"/>
                <w:kern w:val="2"/>
                <w:sz w:val="15"/>
                <w:szCs w:val="15"/>
              </w:rPr>
              <w:t>0mm，续燃时间≤</w:t>
            </w:r>
            <w:r>
              <w:rPr>
                <w:rFonts w:hint="eastAsia" w:ascii="Calibri" w:hAnsi="Calibri" w:eastAsia="宋体" w:cs="黑体"/>
                <w:color w:val="000000"/>
                <w:kern w:val="2"/>
                <w:sz w:val="15"/>
                <w:szCs w:val="15"/>
              </w:rPr>
              <w:t>1</w:t>
            </w:r>
            <w:r>
              <w:rPr>
                <w:rFonts w:ascii="Calibri" w:hAnsi="Calibri" w:eastAsia="宋体" w:cs="黑体"/>
                <w:color w:val="000000"/>
                <w:kern w:val="2"/>
                <w:sz w:val="15"/>
                <w:szCs w:val="15"/>
              </w:rPr>
              <w:t>5s，阴燃时间≤</w:t>
            </w:r>
            <w:r>
              <w:rPr>
                <w:rFonts w:hint="eastAsia" w:ascii="Calibri" w:hAnsi="Calibri" w:eastAsia="宋体" w:cs="黑体"/>
                <w:color w:val="000000"/>
                <w:kern w:val="2"/>
                <w:sz w:val="15"/>
                <w:szCs w:val="15"/>
              </w:rPr>
              <w:t>30</w:t>
            </w:r>
            <w:r>
              <w:rPr>
                <w:rFonts w:ascii="Calibri" w:hAnsi="Calibri" w:eastAsia="宋体" w:cs="黑体"/>
                <w:color w:val="000000"/>
                <w:kern w:val="2"/>
                <w:sz w:val="15"/>
                <w:szCs w:val="15"/>
              </w:rPr>
              <w:t>s</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燃烧滴落物未引起脱脂棉燃烧或阴燃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w:t>
            </w:r>
            <w:r>
              <w:rPr>
                <w:rFonts w:ascii="Calibri" w:hAnsi="Calibri" w:eastAsia="宋体" w:cs="黑体"/>
                <w:color w:val="000000"/>
                <w:kern w:val="2"/>
                <w:sz w:val="15"/>
                <w:szCs w:val="15"/>
                <w:vertAlign w:val="subscript"/>
              </w:rPr>
              <w:t>3</w:t>
            </w:r>
          </w:p>
        </w:tc>
        <w:tc>
          <w:tcPr>
            <w:tcW w:w="4857" w:type="dxa"/>
            <w:gridSpan w:val="2"/>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无性能要求</w:t>
            </w:r>
          </w:p>
        </w:tc>
      </w:tr>
    </w:tbl>
    <w:p>
      <w:pPr>
        <w:jc w:val="center"/>
        <w:rPr>
          <w:color w:val="000000"/>
        </w:rPr>
      </w:pPr>
      <w:r>
        <w:rPr>
          <w:rFonts w:hint="eastAsia" w:eastAsia="黑体"/>
          <w:color w:val="000000"/>
          <w:sz w:val="18"/>
        </w:rPr>
        <w:t>表</w:t>
      </w:r>
      <w:r>
        <w:rPr>
          <w:rFonts w:hint="eastAsia" w:eastAsia="华文仿宋"/>
          <w:color w:val="000000"/>
        </w:rPr>
        <w:t>5.1.1-6</w:t>
      </w:r>
      <w:r>
        <w:rPr>
          <w:rFonts w:hint="eastAsia" w:eastAsia="黑体"/>
          <w:color w:val="000000"/>
          <w:sz w:val="18"/>
        </w:rPr>
        <w:t xml:space="preserve">  窗帘幕布、家具制品装饰用织物燃烧性能等级和分级判据</w:t>
      </w:r>
    </w:p>
    <w:tbl>
      <w:tblPr>
        <w:tblStyle w:val="148"/>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872"/>
        <w:gridCol w:w="2451"/>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838"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燃烧性能等级</w:t>
            </w: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制品类别</w:t>
            </w:r>
          </w:p>
        </w:tc>
        <w:tc>
          <w:tcPr>
            <w:tcW w:w="2451"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试验方法</w:t>
            </w:r>
          </w:p>
        </w:tc>
        <w:tc>
          <w:tcPr>
            <w:tcW w:w="1725"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B1</w:t>
            </w: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软质家具</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《火焰引燃家具和组件的燃烧性能试验方法》</w:t>
            </w:r>
            <w:r>
              <w:rPr>
                <w:rFonts w:ascii="Calibri" w:hAnsi="Calibri" w:eastAsia="宋体" w:cs="黑体"/>
                <w:color w:val="000000"/>
                <w:kern w:val="2"/>
                <w:sz w:val="15"/>
                <w:szCs w:val="15"/>
              </w:rPr>
              <w:t>GB/T</w:t>
            </w:r>
            <w:r>
              <w:rPr>
                <w:rFonts w:hint="eastAsia" w:ascii="Calibri" w:hAnsi="Calibri" w:eastAsia="宋体" w:cs="黑体"/>
                <w:color w:val="000000"/>
                <w:kern w:val="2"/>
                <w:sz w:val="15"/>
                <w:szCs w:val="15"/>
              </w:rPr>
              <w:t xml:space="preserve"> </w:t>
            </w:r>
            <w:r>
              <w:rPr>
                <w:rFonts w:ascii="Calibri" w:hAnsi="Calibri" w:eastAsia="宋体" w:cs="黑体"/>
                <w:color w:val="000000"/>
                <w:kern w:val="2"/>
                <w:sz w:val="15"/>
                <w:szCs w:val="15"/>
              </w:rPr>
              <w:t>27904</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《软体家具  床垫和沙发  抗引燃特性的评定  第1部分：阴燃的香烟》GB 17927.1</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热释放速率峰值≤200kW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5min内总热释放量≤30MJ</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 xml:space="preserve">最大烟密度≤75% </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无有焰燃烧引燃或阴燃引燃现象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vAlign w:val="center"/>
          </w:tcPr>
          <w:p>
            <w:pPr>
              <w:jc w:val="center"/>
              <w:rPr>
                <w:rFonts w:ascii="Calibri" w:hAnsi="Calibri" w:eastAsia="宋体" w:cs="黑体"/>
                <w:color w:val="000000"/>
                <w:kern w:val="2"/>
                <w:sz w:val="15"/>
                <w:szCs w:val="15"/>
              </w:rPr>
            </w:pP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软质床垫</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《建筑材料及制品燃烧性能分级》GB 8624—2012</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附录A-</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热释放速率峰值≤200kW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10</w:t>
            </w:r>
            <w:r>
              <w:rPr>
                <w:rFonts w:ascii="Calibri" w:hAnsi="Calibri" w:eastAsia="宋体" w:cs="黑体"/>
                <w:color w:val="000000"/>
                <w:kern w:val="2"/>
                <w:sz w:val="15"/>
                <w:szCs w:val="15"/>
              </w:rPr>
              <w:t>min内总热释放量≤</w:t>
            </w:r>
            <w:r>
              <w:rPr>
                <w:rFonts w:hint="eastAsia" w:ascii="Calibri" w:hAnsi="Calibri" w:eastAsia="宋体" w:cs="黑体"/>
                <w:color w:val="000000"/>
                <w:kern w:val="2"/>
                <w:sz w:val="15"/>
                <w:szCs w:val="15"/>
              </w:rPr>
              <w:t>15</w:t>
            </w:r>
            <w:r>
              <w:rPr>
                <w:rFonts w:ascii="Calibri" w:hAnsi="Calibri" w:eastAsia="宋体" w:cs="黑体"/>
                <w:color w:val="000000"/>
                <w:kern w:val="2"/>
                <w:sz w:val="15"/>
                <w:szCs w:val="15"/>
              </w:rPr>
              <w:t>MJ</w:t>
            </w:r>
            <w:r>
              <w:rPr>
                <w:rFonts w:hint="eastAsia" w:ascii="Calibri" w:hAnsi="Calibri" w:eastAsia="宋体" w:cs="黑体"/>
                <w:color w:val="000000"/>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vAlign w:val="center"/>
          </w:tcPr>
          <w:p>
            <w:pPr>
              <w:jc w:val="center"/>
              <w:rPr>
                <w:rFonts w:ascii="Calibri" w:hAnsi="Calibri" w:eastAsia="宋体" w:cs="黑体"/>
                <w:color w:val="000000"/>
                <w:kern w:val="2"/>
                <w:sz w:val="15"/>
                <w:szCs w:val="15"/>
              </w:rPr>
            </w:pP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硬质家具</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GB/T 27904</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热释放速率峰值≤200kW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5min内总热释放量≤30MJ</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 xml:space="preserve">最大烟密度≤75% </w:t>
            </w:r>
            <w:r>
              <w:rPr>
                <w:rFonts w:hint="eastAsia" w:ascii="Calibri" w:hAnsi="Calibri" w:eastAsia="宋体" w:cs="黑体"/>
                <w:color w:val="000000"/>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B1</w:t>
            </w: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软质家具</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GB/T 27904</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GB 17927.1</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w:t>
            </w:r>
            <w:r>
              <w:rPr>
                <w:rFonts w:hint="eastAsia" w:ascii="Calibri" w:hAnsi="Calibri" w:eastAsia="宋体" w:cs="黑体"/>
                <w:color w:val="000000"/>
                <w:kern w:val="2"/>
                <w:sz w:val="15"/>
                <w:szCs w:val="15"/>
              </w:rPr>
              <w:t>30</w:t>
            </w:r>
            <w:r>
              <w:rPr>
                <w:rFonts w:ascii="Calibri" w:hAnsi="Calibri" w:eastAsia="宋体" w:cs="黑体"/>
                <w:color w:val="000000"/>
                <w:kern w:val="2"/>
                <w:sz w:val="15"/>
                <w:szCs w:val="15"/>
              </w:rPr>
              <w:t>0kW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5min内总热释放量≤</w:t>
            </w:r>
            <w:r>
              <w:rPr>
                <w:rFonts w:hint="eastAsia" w:ascii="Calibri" w:hAnsi="Calibri" w:eastAsia="宋体" w:cs="黑体"/>
                <w:color w:val="000000"/>
                <w:kern w:val="2"/>
                <w:sz w:val="15"/>
                <w:szCs w:val="15"/>
              </w:rPr>
              <w:t>40</w:t>
            </w:r>
            <w:r>
              <w:rPr>
                <w:rFonts w:ascii="Calibri" w:hAnsi="Calibri" w:eastAsia="宋体" w:cs="黑体"/>
                <w:color w:val="000000"/>
                <w:kern w:val="2"/>
                <w:sz w:val="15"/>
                <w:szCs w:val="15"/>
              </w:rPr>
              <w:t>MJ</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试件未整体燃烧；</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无有焰燃烧引燃或阴燃引燃现象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vAlign w:val="center"/>
          </w:tcPr>
          <w:p>
            <w:pPr>
              <w:jc w:val="center"/>
              <w:rPr>
                <w:rFonts w:ascii="Calibri" w:hAnsi="Calibri" w:eastAsia="宋体" w:cs="黑体"/>
                <w:color w:val="000000"/>
                <w:kern w:val="2"/>
                <w:sz w:val="15"/>
                <w:szCs w:val="15"/>
              </w:rPr>
            </w:pP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软质床垫</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GB 8624—2012</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附录A</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w:t>
            </w:r>
            <w:r>
              <w:rPr>
                <w:rFonts w:hint="eastAsia" w:ascii="Calibri" w:hAnsi="Calibri" w:eastAsia="宋体" w:cs="黑体"/>
                <w:color w:val="000000"/>
                <w:kern w:val="2"/>
                <w:sz w:val="15"/>
                <w:szCs w:val="15"/>
              </w:rPr>
              <w:t>3</w:t>
            </w:r>
            <w:r>
              <w:rPr>
                <w:rFonts w:ascii="Calibri" w:hAnsi="Calibri" w:eastAsia="宋体" w:cs="黑体"/>
                <w:color w:val="000000"/>
                <w:kern w:val="2"/>
                <w:sz w:val="15"/>
                <w:szCs w:val="15"/>
              </w:rPr>
              <w:t>0</w:t>
            </w:r>
            <w:r>
              <w:rPr>
                <w:rFonts w:hint="eastAsia" w:ascii="Calibri" w:hAnsi="Calibri" w:eastAsia="宋体" w:cs="黑体"/>
                <w:color w:val="000000"/>
                <w:kern w:val="2"/>
                <w:sz w:val="15"/>
                <w:szCs w:val="15"/>
              </w:rPr>
              <w:t>0</w:t>
            </w:r>
            <w:r>
              <w:rPr>
                <w:rFonts w:ascii="Calibri" w:hAnsi="Calibri" w:eastAsia="宋体" w:cs="黑体"/>
                <w:color w:val="000000"/>
                <w:kern w:val="2"/>
                <w:sz w:val="15"/>
                <w:szCs w:val="15"/>
              </w:rPr>
              <w:t>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10</w:t>
            </w:r>
            <w:r>
              <w:rPr>
                <w:rFonts w:ascii="Calibri" w:hAnsi="Calibri" w:eastAsia="宋体" w:cs="黑体"/>
                <w:color w:val="000000"/>
                <w:kern w:val="2"/>
                <w:sz w:val="15"/>
                <w:szCs w:val="15"/>
              </w:rPr>
              <w:t>min内总热释放量≤</w:t>
            </w:r>
            <w:r>
              <w:rPr>
                <w:rFonts w:hint="eastAsia" w:ascii="Calibri" w:hAnsi="Calibri" w:eastAsia="宋体" w:cs="黑体"/>
                <w:color w:val="000000"/>
                <w:kern w:val="2"/>
                <w:sz w:val="15"/>
                <w:szCs w:val="15"/>
              </w:rPr>
              <w:t>25</w:t>
            </w:r>
            <w:r>
              <w:rPr>
                <w:rFonts w:ascii="Calibri" w:hAnsi="Calibri" w:eastAsia="宋体" w:cs="黑体"/>
                <w:color w:val="000000"/>
                <w:kern w:val="2"/>
                <w:sz w:val="15"/>
                <w:szCs w:val="15"/>
              </w:rPr>
              <w:t>MJ</w:t>
            </w:r>
            <w:r>
              <w:rPr>
                <w:rFonts w:hint="eastAsia" w:ascii="Calibri" w:hAnsi="Calibri" w:eastAsia="宋体" w:cs="黑体"/>
                <w:color w:val="000000"/>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8" w:type="dxa"/>
            <w:vMerge w:val="continue"/>
            <w:vAlign w:val="center"/>
          </w:tcPr>
          <w:p>
            <w:pPr>
              <w:jc w:val="center"/>
              <w:rPr>
                <w:rFonts w:ascii="Calibri" w:hAnsi="Calibri" w:eastAsia="宋体" w:cs="黑体"/>
                <w:color w:val="000000"/>
                <w:kern w:val="2"/>
                <w:sz w:val="15"/>
                <w:szCs w:val="15"/>
              </w:rPr>
            </w:pPr>
          </w:p>
        </w:tc>
        <w:tc>
          <w:tcPr>
            <w:tcW w:w="872"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硬质家具</w:t>
            </w:r>
          </w:p>
        </w:tc>
        <w:tc>
          <w:tcPr>
            <w:tcW w:w="2451" w:type="dxa"/>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GB/T 27904</w:t>
            </w:r>
          </w:p>
        </w:tc>
        <w:tc>
          <w:tcPr>
            <w:tcW w:w="1725" w:type="dxa"/>
            <w:vAlign w:val="center"/>
          </w:tcPr>
          <w:p>
            <w:pPr>
              <w:rPr>
                <w:rFonts w:ascii="Calibri" w:hAnsi="Calibri" w:eastAsia="宋体" w:cs="黑体"/>
                <w:color w:val="000000"/>
                <w:kern w:val="2"/>
                <w:sz w:val="15"/>
                <w:szCs w:val="15"/>
              </w:rPr>
            </w:pPr>
            <w:r>
              <w:rPr>
                <w:rFonts w:ascii="Calibri" w:hAnsi="Calibri" w:eastAsia="宋体" w:cs="黑体"/>
                <w:color w:val="000000"/>
                <w:kern w:val="2"/>
                <w:sz w:val="15"/>
                <w:szCs w:val="15"/>
              </w:rPr>
              <w:t>热释放速率峰值≤</w:t>
            </w:r>
            <w:r>
              <w:rPr>
                <w:rFonts w:hint="eastAsia" w:ascii="Calibri" w:hAnsi="Calibri" w:eastAsia="宋体" w:cs="黑体"/>
                <w:color w:val="000000"/>
                <w:kern w:val="2"/>
                <w:sz w:val="15"/>
                <w:szCs w:val="15"/>
              </w:rPr>
              <w:t>300</w:t>
            </w:r>
            <w:r>
              <w:rPr>
                <w:rFonts w:ascii="Calibri" w:hAnsi="Calibri" w:eastAsia="宋体" w:cs="黑体"/>
                <w:color w:val="000000"/>
                <w:kern w:val="2"/>
                <w:sz w:val="15"/>
                <w:szCs w:val="15"/>
              </w:rPr>
              <w:t>kW</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ascii="Calibri" w:hAnsi="Calibri" w:eastAsia="宋体" w:cs="黑体"/>
                <w:color w:val="000000"/>
                <w:kern w:val="2"/>
                <w:sz w:val="15"/>
                <w:szCs w:val="15"/>
              </w:rPr>
              <w:t>5min内总热释放量≤</w:t>
            </w:r>
            <w:r>
              <w:rPr>
                <w:rFonts w:hint="eastAsia" w:ascii="Calibri" w:hAnsi="Calibri" w:eastAsia="宋体" w:cs="黑体"/>
                <w:color w:val="000000"/>
                <w:kern w:val="2"/>
                <w:sz w:val="15"/>
                <w:szCs w:val="15"/>
              </w:rPr>
              <w:t>40</w:t>
            </w:r>
            <w:r>
              <w:rPr>
                <w:rFonts w:ascii="Calibri" w:hAnsi="Calibri" w:eastAsia="宋体" w:cs="黑体"/>
                <w:color w:val="000000"/>
                <w:kern w:val="2"/>
                <w:sz w:val="15"/>
                <w:szCs w:val="15"/>
              </w:rPr>
              <w:t>MJ</w:t>
            </w:r>
            <w:r>
              <w:rPr>
                <w:rFonts w:hint="eastAsia" w:ascii="Calibri" w:hAnsi="Calibri" w:eastAsia="宋体" w:cs="黑体"/>
                <w:color w:val="000000"/>
                <w:kern w:val="2"/>
                <w:sz w:val="15"/>
                <w:szCs w:val="15"/>
              </w:rPr>
              <w:t>；</w:t>
            </w:r>
          </w:p>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试件未整体燃烧；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83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B1</w:t>
            </w:r>
          </w:p>
        </w:tc>
        <w:tc>
          <w:tcPr>
            <w:tcW w:w="5048" w:type="dxa"/>
            <w:gridSpan w:val="3"/>
            <w:vAlign w:val="center"/>
          </w:tcPr>
          <w:p>
            <w:pPr>
              <w:rPr>
                <w:rFonts w:ascii="Calibri" w:hAnsi="Calibri" w:eastAsia="宋体" w:cs="黑体"/>
                <w:color w:val="000000"/>
                <w:kern w:val="2"/>
                <w:sz w:val="15"/>
                <w:szCs w:val="15"/>
              </w:rPr>
            </w:pPr>
            <w:r>
              <w:rPr>
                <w:rFonts w:hint="eastAsia" w:ascii="Calibri" w:hAnsi="Calibri" w:eastAsia="宋体" w:cs="黑体"/>
                <w:color w:val="000000"/>
                <w:kern w:val="2"/>
                <w:sz w:val="15"/>
                <w:szCs w:val="15"/>
              </w:rPr>
              <w:t>无性能要求</w:t>
            </w:r>
          </w:p>
        </w:tc>
      </w:tr>
    </w:tbl>
    <w:p>
      <w:pPr>
        <w:ind w:firstLine="375" w:firstLineChars="250"/>
        <w:rPr>
          <w:color w:val="000000"/>
          <w:sz w:val="15"/>
          <w:szCs w:val="15"/>
        </w:rPr>
      </w:pPr>
      <w:r>
        <w:rPr>
          <w:rFonts w:hint="eastAsia"/>
          <w:color w:val="000000"/>
          <w:sz w:val="15"/>
          <w:szCs w:val="15"/>
        </w:rPr>
        <w:t>注：塑料座椅的试验火源功率采用20kW，燃烧器位于座椅下方的一侧，距离座椅底部300mm。</w:t>
      </w:r>
    </w:p>
    <w:p>
      <w:pPr>
        <w:widowControl/>
        <w:spacing w:line="380" w:lineRule="exact"/>
        <w:ind w:firstLine="420" w:firstLineChars="200"/>
        <w:rPr>
          <w:rFonts w:eastAsia="华文仿宋"/>
          <w:color w:val="000000"/>
          <w:szCs w:val="21"/>
        </w:rPr>
      </w:pPr>
      <w:r>
        <w:rPr>
          <w:rFonts w:hint="eastAsia" w:eastAsia="华文仿宋"/>
          <w:color w:val="000000"/>
        </w:rPr>
        <w:t>本条的评价方法为：预评价</w:t>
      </w:r>
      <w:r>
        <w:rPr>
          <w:rFonts w:eastAsia="华文仿宋"/>
          <w:color w:val="000000"/>
        </w:rPr>
        <w:t>查阅相关设计文件，</w:t>
      </w:r>
      <w:r>
        <w:rPr>
          <w:rFonts w:hint="eastAsia" w:eastAsia="华文仿宋"/>
          <w:color w:val="000000"/>
        </w:rPr>
        <w:t>评价查阅相关设计文件、材料清单、材料防火等级检验报告，并现场核实。</w:t>
      </w:r>
    </w:p>
    <w:p>
      <w:pPr>
        <w:pStyle w:val="59"/>
        <w:spacing w:line="360" w:lineRule="exact"/>
        <w:ind w:firstLine="0" w:firstLineChars="0"/>
        <w:rPr>
          <w:color w:val="000000"/>
          <w:sz w:val="21"/>
          <w:szCs w:val="21"/>
        </w:rPr>
      </w:pPr>
      <w:r>
        <w:rPr>
          <w:rStyle w:val="52"/>
          <w:rFonts w:hint="eastAsia" w:eastAsia="仿宋"/>
          <w:b/>
          <w:color w:val="000000"/>
          <w:sz w:val="21"/>
          <w:szCs w:val="21"/>
          <w:u w:val="none"/>
        </w:rPr>
        <w:t>5.1.2</w:t>
      </w:r>
      <w:r>
        <w:rPr>
          <w:rStyle w:val="52"/>
          <w:rFonts w:hint="eastAsia" w:eastAsia="仿宋"/>
          <w:b/>
          <w:color w:val="000000"/>
          <w:szCs w:val="21"/>
          <w:u w:val="none"/>
        </w:rPr>
        <w:t xml:space="preserve">  </w:t>
      </w:r>
      <w:r>
        <w:rPr>
          <w:rFonts w:hint="eastAsia"/>
          <w:color w:val="000000"/>
          <w:sz w:val="21"/>
          <w:szCs w:val="21"/>
        </w:rPr>
        <w:t>室内建筑装饰装修材料的放射性核素限量应符合现行国家标准《建筑材料放射性核素限量》GB6566的规定要求。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Fonts w:hint="eastAsia"/>
          <w:b/>
          <w:bCs/>
          <w:color w:val="000000"/>
          <w:szCs w:val="21"/>
        </w:rPr>
        <w:t>5</w:t>
      </w:r>
      <w:r>
        <w:rPr>
          <w:b/>
          <w:bCs/>
          <w:color w:val="000000"/>
          <w:szCs w:val="21"/>
        </w:rPr>
        <w:t>.1.</w:t>
      </w:r>
      <w:r>
        <w:rPr>
          <w:rFonts w:hint="eastAsia"/>
          <w:b/>
          <w:bCs/>
          <w:color w:val="000000"/>
          <w:szCs w:val="21"/>
        </w:rPr>
        <w:t>2</w:t>
      </w:r>
      <w:r>
        <w:rPr>
          <w:b/>
          <w:bCs/>
          <w:color w:val="000000"/>
          <w:szCs w:val="21"/>
        </w:rPr>
        <w:t xml:space="preserve">  </w:t>
      </w:r>
      <w:r>
        <w:rPr>
          <w:rFonts w:hint="eastAsia" w:eastAsia="华文仿宋"/>
          <w:color w:val="000000"/>
        </w:rPr>
        <w:t>本条适用于各类民用建筑室内全装修的评价。</w:t>
      </w:r>
    </w:p>
    <w:p>
      <w:pPr>
        <w:ind w:firstLine="420" w:firstLineChars="200"/>
        <w:rPr>
          <w:rFonts w:eastAsia="华文仿宋"/>
          <w:color w:val="000000"/>
        </w:rPr>
      </w:pPr>
      <w:r>
        <w:rPr>
          <w:rFonts w:eastAsia="华文仿宋"/>
          <w:color w:val="000000"/>
        </w:rPr>
        <w:t>建筑材料中所含的长寿命天然放射性核素，会放射出γ射线，直接对室内构成外照射危害。γ射线外照射危害的大小与建筑材料中所含的放射性同位素的比活度直接相关，还与建筑物空间大小、几何形状、放射性同位素在建筑材料中的分布均匀性等相关。</w:t>
      </w:r>
    </w:p>
    <w:p>
      <w:pPr>
        <w:ind w:firstLine="420" w:firstLineChars="200"/>
        <w:rPr>
          <w:rFonts w:eastAsia="华文仿宋"/>
          <w:color w:val="000000"/>
        </w:rPr>
      </w:pPr>
      <w:r>
        <w:rPr>
          <w:rFonts w:eastAsia="华文仿宋"/>
          <w:color w:val="000000"/>
        </w:rPr>
        <w:t>建筑材料包括室内装饰装修材料主要对无机非金属材料，包括石材、建筑卫生陶瓷、石膏板、吊顶材料、无机瓷质砖粘结材料等其放射性比活度限量提出要求。</w:t>
      </w:r>
    </w:p>
    <w:p>
      <w:pPr>
        <w:ind w:firstLine="420" w:firstLineChars="200"/>
        <w:rPr>
          <w:rFonts w:eastAsia="华文仿宋"/>
          <w:color w:val="000000"/>
        </w:rPr>
      </w:pPr>
      <w:r>
        <w:rPr>
          <w:rFonts w:eastAsia="华文仿宋"/>
          <w:color w:val="000000"/>
        </w:rPr>
        <w:t>放射性比活度是物质中的某种核素放射性活度与该物质的质量之比值。</w:t>
      </w:r>
    </w:p>
    <w:p>
      <w:pPr>
        <w:ind w:firstLine="420" w:firstLineChars="200"/>
        <w:rPr>
          <w:rFonts w:eastAsia="华文仿宋"/>
          <w:color w:val="000000"/>
        </w:rPr>
      </w:pPr>
      <w:r>
        <w:rPr>
          <w:rFonts w:eastAsia="华文仿宋"/>
          <w:color w:val="000000"/>
        </w:rPr>
        <w:t>放射性比活度按以下公式计算：</w:t>
      </w:r>
    </w:p>
    <w:p>
      <w:pPr>
        <w:ind w:firstLine="420" w:firstLineChars="200"/>
        <w:jc w:val="center"/>
        <w:rPr>
          <w:rFonts w:eastAsia="华文仿宋"/>
          <w:color w:val="000000"/>
        </w:rPr>
      </w:pPr>
      <w:r>
        <w:rPr>
          <w:rFonts w:eastAsia="华文仿宋"/>
          <w:color w:val="000000"/>
        </w:rPr>
        <w:t>C=A/m</w:t>
      </w:r>
    </w:p>
    <w:p>
      <w:pPr>
        <w:rPr>
          <w:rFonts w:eastAsia="华文仿宋"/>
          <w:color w:val="000000"/>
        </w:rPr>
      </w:pPr>
      <w:r>
        <w:rPr>
          <w:rFonts w:eastAsia="华文仿宋"/>
          <w:color w:val="000000"/>
        </w:rPr>
        <w:t>式中:C——放射性比活度，单位为贝克每千克(Bq</w:t>
      </w:r>
      <w:r>
        <w:rPr>
          <w:rFonts w:eastAsia="MS Mincho"/>
          <w:color w:val="000000"/>
        </w:rPr>
        <w:t>・</w:t>
      </w:r>
      <w:r>
        <w:rPr>
          <w:rFonts w:eastAsia="华文仿宋"/>
          <w:color w:val="000000"/>
        </w:rPr>
        <w:t>kg</w:t>
      </w:r>
      <w:r>
        <w:rPr>
          <w:rFonts w:eastAsia="华文仿宋"/>
          <w:color w:val="000000"/>
          <w:vertAlign w:val="superscript"/>
        </w:rPr>
        <w:t>-1</w:t>
      </w:r>
      <w:r>
        <w:rPr>
          <w:rFonts w:eastAsia="华文仿宋"/>
          <w:color w:val="000000"/>
        </w:rPr>
        <w:t>)；</w:t>
      </w:r>
    </w:p>
    <w:p>
      <w:pPr>
        <w:ind w:firstLine="420" w:firstLineChars="200"/>
        <w:rPr>
          <w:rFonts w:eastAsia="华文仿宋"/>
          <w:color w:val="000000"/>
        </w:rPr>
      </w:pPr>
      <w:r>
        <w:rPr>
          <w:rFonts w:eastAsia="华文仿宋"/>
          <w:color w:val="000000"/>
        </w:rPr>
        <w:t>A——核素放射性活度，单位为贝克(Bq)；</w:t>
      </w:r>
    </w:p>
    <w:p>
      <w:pPr>
        <w:ind w:firstLine="420" w:firstLineChars="200"/>
        <w:rPr>
          <w:rFonts w:eastAsia="华文仿宋"/>
          <w:color w:val="000000"/>
        </w:rPr>
      </w:pPr>
      <w:r>
        <w:rPr>
          <w:rFonts w:eastAsia="华文仿宋"/>
          <w:color w:val="000000"/>
        </w:rPr>
        <w:t>m——物质的质量，单位为千克(kg)。</w:t>
      </w:r>
    </w:p>
    <w:p>
      <w:pPr>
        <w:ind w:firstLine="420" w:firstLineChars="200"/>
        <w:rPr>
          <w:rFonts w:eastAsia="华文仿宋"/>
          <w:color w:val="000000"/>
        </w:rPr>
      </w:pPr>
      <w:r>
        <w:rPr>
          <w:rFonts w:eastAsia="华文仿宋"/>
          <w:color w:val="000000"/>
        </w:rPr>
        <w:t>室内装饰装修材料放射性比活度限量应符合表</w:t>
      </w:r>
      <w:r>
        <w:rPr>
          <w:rFonts w:hint="eastAsia" w:eastAsia="华文仿宋"/>
          <w:color w:val="000000"/>
        </w:rPr>
        <w:t>5.1.3</w:t>
      </w:r>
      <w:r>
        <w:rPr>
          <w:rFonts w:eastAsia="华文仿宋"/>
          <w:color w:val="000000"/>
        </w:rPr>
        <w:t>的规定。</w:t>
      </w:r>
    </w:p>
    <w:p>
      <w:pPr>
        <w:spacing w:before="18"/>
        <w:jc w:val="center"/>
        <w:rPr>
          <w:rFonts w:eastAsia="黑体"/>
          <w:color w:val="000000"/>
          <w:sz w:val="18"/>
          <w:szCs w:val="18"/>
        </w:rPr>
      </w:pPr>
      <w:r>
        <w:rPr>
          <w:rFonts w:eastAsia="黑体"/>
          <w:bCs/>
          <w:color w:val="000000"/>
          <w:sz w:val="18"/>
          <w:szCs w:val="18"/>
        </w:rPr>
        <w:t>表</w:t>
      </w:r>
      <w:r>
        <w:rPr>
          <w:rFonts w:hint="eastAsia" w:eastAsia="黑体"/>
          <w:bCs/>
          <w:color w:val="000000"/>
          <w:sz w:val="18"/>
          <w:szCs w:val="18"/>
        </w:rPr>
        <w:t>5.1.3</w:t>
      </w:r>
      <w:r>
        <w:rPr>
          <w:rFonts w:eastAsia="黑体"/>
          <w:bCs/>
          <w:color w:val="000000"/>
          <w:sz w:val="18"/>
          <w:szCs w:val="18"/>
        </w:rPr>
        <w:t xml:space="preserve"> </w:t>
      </w:r>
      <w:r>
        <w:rPr>
          <w:rFonts w:eastAsia="黑体"/>
          <w:bCs/>
          <w:color w:val="000000"/>
          <w:spacing w:val="3"/>
          <w:sz w:val="18"/>
          <w:szCs w:val="18"/>
        </w:rPr>
        <w:t xml:space="preserve"> </w:t>
      </w:r>
      <w:r>
        <w:rPr>
          <w:rFonts w:eastAsia="黑体"/>
          <w:bCs/>
          <w:color w:val="000000"/>
          <w:sz w:val="18"/>
          <w:szCs w:val="18"/>
        </w:rPr>
        <w:t>无机非金属装修材料放射性用限量</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2"/>
        <w:gridCol w:w="1962"/>
        <w:gridCol w:w="19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1962"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测定项目</w:t>
            </w:r>
          </w:p>
        </w:tc>
        <w:tc>
          <w:tcPr>
            <w:tcW w:w="392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限量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62"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962" w:type="dxa"/>
            <w:tcBorders>
              <w:top w:val="single" w:color="000000" w:sz="4" w:space="0"/>
              <w:left w:val="single" w:color="000000" w:sz="4" w:space="0"/>
              <w:bottom w:val="single" w:color="000000" w:sz="4" w:space="0"/>
              <w:right w:val="single" w:color="000000" w:sz="4" w:space="0"/>
            </w:tcBorders>
            <w:vAlign w:val="center"/>
          </w:tcPr>
          <w:p>
            <w:pPr>
              <w:spacing w:line="262"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A</w:t>
            </w:r>
          </w:p>
        </w:tc>
        <w:tc>
          <w:tcPr>
            <w:tcW w:w="1962"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内照射指数 I</w:t>
            </w:r>
            <w:r>
              <w:rPr>
                <w:rFonts w:ascii="Calibri" w:hAnsi="Calibri" w:eastAsia="宋体" w:cs="黑体"/>
                <w:color w:val="000000"/>
                <w:sz w:val="15"/>
                <w:szCs w:val="15"/>
                <w:vertAlign w:val="subscript"/>
                <w:lang w:eastAsia="en-US"/>
              </w:rPr>
              <w:t>Ri</w:t>
            </w:r>
          </w:p>
        </w:tc>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≤1.0</w:t>
            </w:r>
          </w:p>
        </w:tc>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外照射指数 I</w:t>
            </w:r>
            <w:r>
              <w:rPr>
                <w:rFonts w:ascii="Calibri" w:hAnsi="Calibri" w:eastAsia="宋体" w:cs="黑体"/>
                <w:color w:val="000000"/>
                <w:sz w:val="15"/>
                <w:szCs w:val="15"/>
                <w:vertAlign w:val="subscript"/>
                <w:lang w:eastAsia="en-US"/>
              </w:rPr>
              <w:t>ri</w:t>
            </w:r>
          </w:p>
        </w:tc>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≤1.3</w:t>
            </w:r>
          </w:p>
        </w:tc>
        <w:tc>
          <w:tcPr>
            <w:tcW w:w="196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≤1.9</w:t>
            </w:r>
          </w:p>
        </w:tc>
      </w:tr>
    </w:tbl>
    <w:p>
      <w:pPr>
        <w:ind w:firstLine="420" w:firstLineChars="200"/>
        <w:rPr>
          <w:rFonts w:eastAsia="华文仿宋"/>
          <w:color w:val="000000"/>
        </w:rPr>
      </w:pPr>
      <w:r>
        <w:rPr>
          <w:rFonts w:eastAsia="华文仿宋"/>
          <w:color w:val="000000"/>
        </w:rPr>
        <w:t>本条款的评价方法为</w:t>
      </w:r>
      <w:r>
        <w:rPr>
          <w:rFonts w:hint="eastAsia" w:eastAsia="华文仿宋"/>
          <w:color w:val="000000"/>
        </w:rPr>
        <w:t>：</w:t>
      </w:r>
      <w:r>
        <w:rPr>
          <w:rFonts w:eastAsia="华文仿宋"/>
          <w:color w:val="000000"/>
        </w:rPr>
        <w:t xml:space="preserve">评价查阅室内装饰装修工程项日材料结算清单，提交包括石材、建筑卫生陶瓷、石膏板、吊顶材料、无机瓷质砖粘结材料等的建筑材料放射性核素限量检测报告。 </w:t>
      </w:r>
    </w:p>
    <w:p>
      <w:pPr>
        <w:pStyle w:val="59"/>
        <w:spacing w:line="360" w:lineRule="exact"/>
        <w:ind w:firstLine="0" w:firstLineChars="0"/>
        <w:rPr>
          <w:color w:val="000000"/>
          <w:sz w:val="21"/>
          <w:szCs w:val="20"/>
        </w:rPr>
      </w:pPr>
      <w:r>
        <w:rPr>
          <w:rStyle w:val="52"/>
          <w:rFonts w:hint="eastAsia" w:eastAsia="仿宋"/>
          <w:b/>
          <w:color w:val="000000"/>
          <w:sz w:val="21"/>
          <w:szCs w:val="21"/>
          <w:u w:val="none"/>
        </w:rPr>
        <w:t>5.1.3</w:t>
      </w:r>
      <w:r>
        <w:rPr>
          <w:rStyle w:val="52"/>
          <w:rFonts w:hint="eastAsia" w:eastAsia="仿宋"/>
          <w:b/>
          <w:color w:val="000000"/>
          <w:szCs w:val="21"/>
          <w:u w:val="none"/>
        </w:rPr>
        <w:t xml:space="preserve">  </w:t>
      </w:r>
      <w:r>
        <w:rPr>
          <w:rFonts w:hint="eastAsia"/>
          <w:color w:val="000000"/>
          <w:sz w:val="21"/>
          <w:szCs w:val="20"/>
        </w:rPr>
        <w:t>室内</w:t>
      </w:r>
      <w:r>
        <w:rPr>
          <w:color w:val="000000"/>
          <w:sz w:val="21"/>
          <w:szCs w:val="20"/>
        </w:rPr>
        <w:t>装饰装修材料中有害物质限量应满足现行国家标准《室内</w:t>
      </w:r>
      <w:r>
        <w:rPr>
          <w:rFonts w:hint="eastAsia"/>
          <w:color w:val="000000"/>
          <w:sz w:val="21"/>
          <w:szCs w:val="20"/>
        </w:rPr>
        <w:t>装饰</w:t>
      </w:r>
      <w:r>
        <w:rPr>
          <w:color w:val="000000"/>
          <w:sz w:val="21"/>
          <w:szCs w:val="20"/>
        </w:rPr>
        <w:t>装修材料</w:t>
      </w:r>
      <w:r>
        <w:rPr>
          <w:rFonts w:hint="eastAsia"/>
          <w:color w:val="000000"/>
          <w:sz w:val="21"/>
          <w:szCs w:val="20"/>
        </w:rPr>
        <w:t xml:space="preserve">  </w:t>
      </w:r>
      <w:r>
        <w:rPr>
          <w:color w:val="000000"/>
          <w:sz w:val="21"/>
          <w:szCs w:val="20"/>
        </w:rPr>
        <w:t>水性木器涂料中有害物质限量》GB24410和室内装饰装修材料有害物质限量现行强制性系列国家标准（GB18580~GB18587）的规定要求。</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Fonts w:hint="eastAsia"/>
          <w:b/>
          <w:bCs/>
          <w:color w:val="000000"/>
          <w:szCs w:val="21"/>
        </w:rPr>
        <w:t>5</w:t>
      </w:r>
      <w:r>
        <w:rPr>
          <w:b/>
          <w:bCs/>
          <w:color w:val="000000"/>
          <w:szCs w:val="21"/>
        </w:rPr>
        <w:t>.1.</w:t>
      </w:r>
      <w:r>
        <w:rPr>
          <w:rFonts w:hint="eastAsia"/>
          <w:b/>
          <w:bCs/>
          <w:color w:val="000000"/>
          <w:szCs w:val="21"/>
        </w:rPr>
        <w:t>3</w:t>
      </w:r>
      <w:r>
        <w:rPr>
          <w:b/>
          <w:bCs/>
          <w:color w:val="000000"/>
          <w:szCs w:val="21"/>
        </w:rPr>
        <w:t xml:space="preserve">  </w:t>
      </w:r>
      <w:r>
        <w:rPr>
          <w:rFonts w:hint="eastAsia" w:eastAsia="华文仿宋"/>
          <w:color w:val="000000"/>
        </w:rPr>
        <w:t>本条适用于各类民用建筑室内全装修的评价。</w:t>
      </w:r>
    </w:p>
    <w:p>
      <w:pPr>
        <w:ind w:firstLine="420" w:firstLineChars="200"/>
        <w:rPr>
          <w:rFonts w:eastAsia="华文仿宋"/>
          <w:color w:val="000000"/>
        </w:rPr>
      </w:pPr>
      <w:r>
        <w:rPr>
          <w:rFonts w:eastAsia="华文仿宋"/>
          <w:color w:val="000000"/>
        </w:rPr>
        <w:t>国家质量监督检验检疫总局和国家标准化管理委员会联合发布了室内装饰装修材料有害物质限量8项强制性国家标准（GB 18580~GB 18587）及《室内装饰装修材料  水性木器涂料中有害物质限量》GB 24410，这些强制性国家标准包括：人造板及其制品、内墙涂料、溶剂型木器涂料、胶粘剂、地毯及地毯用胶粘剂壁纸、木家具、聚氯乙烯卷材地板、水性木器涂料等材料中有害物质的限量要求，本条主要针对产生室内空气污染的有害物质限量，提出控制性要求，旨在控制室内空气质量。标准规定的各种材料有害物质限量见表</w:t>
      </w:r>
      <w:r>
        <w:rPr>
          <w:rFonts w:hint="eastAsia" w:eastAsia="华文仿宋"/>
          <w:color w:val="000000"/>
        </w:rPr>
        <w:t>5.1.4-1</w:t>
      </w:r>
      <w:r>
        <w:rPr>
          <w:rFonts w:eastAsia="华文仿宋"/>
          <w:color w:val="000000"/>
        </w:rPr>
        <w:t>~表</w:t>
      </w:r>
      <w:r>
        <w:rPr>
          <w:rFonts w:hint="eastAsia" w:eastAsia="华文仿宋"/>
          <w:color w:val="000000"/>
        </w:rPr>
        <w:t>5.1.4-8</w:t>
      </w:r>
      <w:r>
        <w:rPr>
          <w:rFonts w:eastAsia="华文仿宋"/>
          <w:color w:val="000000"/>
        </w:rPr>
        <w:t>。</w:t>
      </w:r>
    </w:p>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5.1.4-1</w:t>
      </w:r>
      <w:r>
        <w:rPr>
          <w:rFonts w:eastAsia="黑体"/>
          <w:bCs/>
          <w:color w:val="000000"/>
          <w:sz w:val="18"/>
          <w:szCs w:val="18"/>
        </w:rPr>
        <w:t xml:space="preserve"> </w:t>
      </w:r>
      <w:r>
        <w:rPr>
          <w:rFonts w:eastAsia="黑体"/>
          <w:bCs/>
          <w:color w:val="000000"/>
          <w:spacing w:val="3"/>
          <w:sz w:val="18"/>
          <w:szCs w:val="18"/>
        </w:rPr>
        <w:t xml:space="preserve"> </w:t>
      </w:r>
      <w:r>
        <w:rPr>
          <w:rFonts w:eastAsia="黑体"/>
          <w:bCs/>
          <w:color w:val="000000"/>
          <w:sz w:val="18"/>
          <w:szCs w:val="18"/>
        </w:rPr>
        <w:t>水性木器涂料中有害物质限量</w:t>
      </w:r>
    </w:p>
    <w:p>
      <w:pPr>
        <w:ind w:firstLine="360" w:firstLineChars="200"/>
        <w:jc w:val="center"/>
        <w:rPr>
          <w:rFonts w:eastAsia="黑体"/>
          <w:bCs/>
          <w:color w:val="000000"/>
          <w:sz w:val="18"/>
          <w:szCs w:val="18"/>
        </w:rPr>
      </w:pPr>
      <w:r>
        <w:rPr>
          <w:rFonts w:hint="eastAsia" w:eastAsia="黑体"/>
          <w:bCs/>
          <w:color w:val="000000"/>
          <w:sz w:val="18"/>
          <w:szCs w:val="18"/>
        </w:rPr>
        <w:t>（</w:t>
      </w:r>
      <w:r>
        <w:rPr>
          <w:rFonts w:hint="eastAsia"/>
          <w:bCs/>
          <w:color w:val="000000"/>
          <w:sz w:val="18"/>
          <w:szCs w:val="18"/>
        </w:rPr>
        <w:t>室内装饰装修材料水性木器涂料中有害物质限量</w:t>
      </w:r>
      <w:r>
        <w:rPr>
          <w:rFonts w:hint="eastAsia" w:eastAsia="黑体"/>
          <w:bCs/>
          <w:color w:val="000000"/>
          <w:sz w:val="18"/>
          <w:szCs w:val="18"/>
        </w:rPr>
        <w:t>）</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83"/>
        <w:gridCol w:w="1335"/>
        <w:gridCol w:w="1222"/>
        <w:gridCol w:w="1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3318" w:type="dxa"/>
            <w:gridSpan w:val="2"/>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项目</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限量值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3318" w:type="dxa"/>
            <w:gridSpan w:val="2"/>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1222"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涂料</w:t>
            </w:r>
            <w:r>
              <w:rPr>
                <w:rFonts w:ascii="Calibri" w:hAnsi="Calibri" w:eastAsia="宋体" w:cs="黑体"/>
                <w:color w:val="000000"/>
                <w:sz w:val="15"/>
                <w:szCs w:val="15"/>
                <w:vertAlign w:val="superscript"/>
                <w:lang w:eastAsia="en-US"/>
              </w:rPr>
              <w:t>a</w:t>
            </w:r>
          </w:p>
        </w:tc>
        <w:tc>
          <w:tcPr>
            <w:tcW w:w="1346"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腻子</w:t>
            </w:r>
            <w:r>
              <w:rPr>
                <w:rFonts w:ascii="Calibri" w:hAnsi="Calibri" w:eastAsia="宋体" w:cs="黑体"/>
                <w:color w:val="000000"/>
                <w:sz w:val="15"/>
                <w:szCs w:val="15"/>
                <w:vertAlign w:val="superscript"/>
                <w:lang w:eastAsia="en-US"/>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3318"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挥发性有机化合物含量（VOC）</w:t>
            </w:r>
            <w:r>
              <w:rPr>
                <w:rFonts w:hint="eastAsia" w:ascii="Calibri" w:hAnsi="Calibri" w:eastAsia="宋体" w:cs="黑体"/>
                <w:color w:val="000000"/>
                <w:sz w:val="15"/>
                <w:szCs w:val="15"/>
                <w:lang w:eastAsia="zh-CN"/>
              </w:rPr>
              <w:t xml:space="preserve">含量                          </w:t>
            </w:r>
            <w:r>
              <w:rPr>
                <w:rFonts w:ascii="Calibri" w:hAnsi="Calibri" w:eastAsia="宋体" w:cs="黑体"/>
                <w:color w:val="000000"/>
                <w:sz w:val="15"/>
                <w:szCs w:val="15"/>
                <w:lang w:eastAsia="zh-CN"/>
              </w:rPr>
              <w:t>≤</w:t>
            </w:r>
          </w:p>
        </w:tc>
        <w:tc>
          <w:tcPr>
            <w:tcW w:w="122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300</w:t>
            </w:r>
            <w:r>
              <w:rPr>
                <w:rFonts w:ascii="Calibri" w:hAnsi="Calibri" w:eastAsia="宋体" w:cs="黑体"/>
                <w:color w:val="000000"/>
                <w:sz w:val="15"/>
                <w:szCs w:val="15"/>
                <w:lang w:eastAsia="en-US"/>
              </w:rPr>
              <w:t>g/L</w:t>
            </w:r>
          </w:p>
        </w:tc>
        <w:tc>
          <w:tcPr>
            <w:tcW w:w="13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60</w:t>
            </w:r>
            <w:r>
              <w:rPr>
                <w:rFonts w:ascii="Calibri" w:hAnsi="Calibri" w:eastAsia="宋体" w:cs="黑体"/>
                <w:color w:val="000000"/>
                <w:sz w:val="15"/>
                <w:szCs w:val="15"/>
                <w:lang w:eastAsia="en-US"/>
              </w:rPr>
              <w:t>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4" w:hRule="exact"/>
          <w:jc w:val="center"/>
        </w:trPr>
        <w:tc>
          <w:tcPr>
            <w:tcW w:w="3318"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hint="eastAsia" w:ascii="Calibri" w:hAnsi="Calibri" w:eastAsia="宋体" w:cs="黑体"/>
                <w:color w:val="000000"/>
                <w:sz w:val="15"/>
                <w:szCs w:val="15"/>
                <w:lang w:eastAsia="zh-CN"/>
              </w:rPr>
              <w:t>苯系物含量（</w:t>
            </w:r>
            <w:r>
              <w:rPr>
                <w:rFonts w:ascii="Calibri" w:hAnsi="Calibri" w:eastAsia="宋体" w:cs="黑体"/>
                <w:color w:val="000000"/>
                <w:sz w:val="15"/>
                <w:szCs w:val="15"/>
                <w:lang w:eastAsia="zh-CN"/>
              </w:rPr>
              <w:t>苯、甲苯、乙苯</w:t>
            </w:r>
            <w:r>
              <w:rPr>
                <w:rFonts w:hint="eastAsia" w:ascii="Calibri" w:hAnsi="Calibri" w:eastAsia="宋体" w:cs="黑体"/>
                <w:color w:val="000000"/>
                <w:sz w:val="15"/>
                <w:szCs w:val="15"/>
                <w:lang w:eastAsia="zh-CN"/>
              </w:rPr>
              <w:t>和</w:t>
            </w:r>
            <w:r>
              <w:rPr>
                <w:rFonts w:ascii="Calibri" w:hAnsi="Calibri" w:eastAsia="宋体" w:cs="黑体"/>
                <w:color w:val="000000"/>
                <w:sz w:val="15"/>
                <w:szCs w:val="15"/>
                <w:lang w:eastAsia="zh-CN"/>
              </w:rPr>
              <w:t>二甲苯总和</w:t>
            </w:r>
            <w:r>
              <w:rPr>
                <w:rFonts w:hint="eastAsia" w:ascii="Calibri" w:hAnsi="Calibri" w:eastAsia="宋体" w:cs="黑体"/>
                <w:color w:val="000000"/>
                <w:sz w:val="15"/>
                <w:szCs w:val="15"/>
                <w:lang w:eastAsia="zh-CN"/>
              </w:rPr>
              <w:t>）</w:t>
            </w:r>
          </w:p>
          <w:p>
            <w:pPr>
              <w:ind w:left="105" w:leftChars="50"/>
              <w:rPr>
                <w:rFonts w:ascii="Calibri" w:hAnsi="Calibri" w:eastAsia="宋体" w:cs="黑体"/>
                <w:color w:val="000000"/>
                <w:sz w:val="15"/>
                <w:szCs w:val="15"/>
                <w:lang w:eastAsia="en-US"/>
              </w:rPr>
            </w:pPr>
            <w:r>
              <w:rPr>
                <w:rFonts w:ascii="Calibri" w:hAnsi="Calibri" w:eastAsia="宋体" w:cs="黑体"/>
                <w:color w:val="000000"/>
                <w:sz w:val="15"/>
                <w:szCs w:val="15"/>
                <w:lang w:eastAsia="en-US"/>
              </w:rPr>
              <w:t>/（mg/kg</w:t>
            </w:r>
            <w:r>
              <w:rPr>
                <w:rFonts w:hint="eastAsia" w:ascii="Calibri" w:hAnsi="Calibri" w:eastAsia="宋体" w:cs="黑体"/>
                <w:color w:val="000000"/>
                <w:sz w:val="15"/>
                <w:szCs w:val="15"/>
                <w:lang w:eastAsia="en-US"/>
              </w:rPr>
              <w:t xml:space="preserve">）                             </w:t>
            </w:r>
            <w:r>
              <w:rPr>
                <w:rFonts w:ascii="Calibri" w:hAnsi="Calibri" w:eastAsia="宋体" w:cs="黑体"/>
                <w:color w:val="000000"/>
                <w:sz w:val="15"/>
                <w:szCs w:val="15"/>
                <w:lang w:eastAsia="en-US"/>
              </w:rPr>
              <w:t>≤</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1" w:hRule="exact"/>
          <w:jc w:val="center"/>
        </w:trPr>
        <w:tc>
          <w:tcPr>
            <w:tcW w:w="3318"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乙二醇醚及其酯类</w:t>
            </w:r>
            <w:r>
              <w:rPr>
                <w:rFonts w:hint="eastAsia" w:ascii="Calibri" w:hAnsi="Calibri" w:eastAsia="宋体" w:cs="黑体"/>
                <w:color w:val="000000"/>
                <w:sz w:val="15"/>
                <w:szCs w:val="15"/>
                <w:lang w:eastAsia="zh-CN"/>
              </w:rPr>
              <w:t>含量（</w:t>
            </w:r>
            <w:r>
              <w:rPr>
                <w:rFonts w:ascii="Calibri" w:hAnsi="Calibri" w:eastAsia="宋体" w:cs="黑体"/>
                <w:color w:val="000000"/>
                <w:sz w:val="15"/>
                <w:szCs w:val="15"/>
                <w:lang w:eastAsia="zh-CN"/>
              </w:rPr>
              <w:t>乙二醇甲醚、乙二醇甲醚醋酸酯、乙二醇乙醚、乙二醇乙醚醋酸酯、二乙二醇丁醚醋酸酯</w:t>
            </w:r>
            <w:r>
              <w:rPr>
                <w:rFonts w:hint="eastAsia" w:ascii="Calibri" w:hAnsi="Calibri" w:eastAsia="宋体" w:cs="黑体"/>
                <w:color w:val="000000"/>
                <w:sz w:val="15"/>
                <w:szCs w:val="15"/>
                <w:lang w:eastAsia="zh-CN"/>
              </w:rPr>
              <w:t xml:space="preserve">总和）/ </w:t>
            </w:r>
            <w:r>
              <w:rPr>
                <w:rFonts w:ascii="Calibri" w:hAnsi="Calibri" w:eastAsia="宋体" w:cs="黑体"/>
                <w:color w:val="000000"/>
                <w:sz w:val="15"/>
                <w:szCs w:val="15"/>
                <w:lang w:eastAsia="zh-CN"/>
              </w:rPr>
              <w:t>（mg/kg</w:t>
            </w:r>
            <w:r>
              <w:rPr>
                <w:rFonts w:hint="eastAsia" w:ascii="Calibri" w:hAnsi="Calibri" w:eastAsia="宋体" w:cs="黑体"/>
                <w:color w:val="000000"/>
                <w:sz w:val="15"/>
                <w:szCs w:val="15"/>
                <w:lang w:eastAsia="zh-CN"/>
              </w:rPr>
              <w:t xml:space="preserve">）      </w:t>
            </w:r>
            <w:r>
              <w:rPr>
                <w:rFonts w:ascii="Calibri" w:hAnsi="Calibri" w:eastAsia="宋体" w:cs="黑体"/>
                <w:color w:val="000000"/>
                <w:sz w:val="15"/>
                <w:szCs w:val="15"/>
                <w:lang w:eastAsia="zh-CN"/>
              </w:rPr>
              <w:t>≤</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1" w:hRule="exact"/>
          <w:jc w:val="center"/>
        </w:trPr>
        <w:tc>
          <w:tcPr>
            <w:tcW w:w="3318" w:type="dxa"/>
            <w:gridSpan w:val="2"/>
            <w:tcBorders>
              <w:top w:val="single" w:color="000000" w:sz="4" w:space="0"/>
              <w:left w:val="single" w:color="000000" w:sz="4" w:space="0"/>
              <w:bottom w:val="single" w:color="000000" w:sz="4" w:space="0"/>
              <w:right w:val="single" w:color="000000" w:sz="4" w:space="0"/>
            </w:tcBorders>
            <w:vAlign w:val="center"/>
          </w:tcPr>
          <w:p>
            <w:pPr>
              <w:ind w:left="255" w:leftChars="50" w:hanging="150" w:hangingChars="100"/>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游离甲醛含量/</w:t>
            </w:r>
            <w:r>
              <w:rPr>
                <w:rFonts w:ascii="Calibri" w:hAnsi="Calibri" w:eastAsia="宋体" w:cs="黑体"/>
                <w:color w:val="000000"/>
                <w:sz w:val="15"/>
                <w:szCs w:val="15"/>
                <w:lang w:eastAsia="en-US"/>
              </w:rPr>
              <w:t>（mg/kg</w:t>
            </w:r>
            <w:r>
              <w:rPr>
                <w:rFonts w:hint="eastAsia" w:ascii="Calibri" w:hAnsi="Calibri" w:eastAsia="宋体" w:cs="黑体"/>
                <w:color w:val="000000"/>
                <w:sz w:val="15"/>
                <w:szCs w:val="15"/>
                <w:lang w:eastAsia="en-US"/>
              </w:rPr>
              <w:t xml:space="preserve">）                 </w:t>
            </w:r>
            <w:r>
              <w:rPr>
                <w:rFonts w:ascii="Calibri" w:hAnsi="Calibri" w:eastAsia="宋体" w:cs="黑体"/>
                <w:color w:val="000000"/>
                <w:sz w:val="15"/>
                <w:szCs w:val="15"/>
                <w:lang w:eastAsia="en-US"/>
              </w:rPr>
              <w:t>≤</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83" w:type="dxa"/>
            <w:vMerge w:val="restart"/>
            <w:tcBorders>
              <w:top w:val="single" w:color="000000" w:sz="4" w:space="0"/>
              <w:left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可溶性金属</w:t>
            </w:r>
            <w:r>
              <w:rPr>
                <w:rFonts w:hint="eastAsia" w:ascii="Calibri" w:hAnsi="Calibri" w:eastAsia="宋体" w:cs="黑体"/>
                <w:color w:val="000000"/>
                <w:sz w:val="15"/>
                <w:szCs w:val="15"/>
                <w:lang w:eastAsia="zh-CN"/>
              </w:rPr>
              <w:t>含量（限色漆和腻子）</w:t>
            </w:r>
            <w:r>
              <w:rPr>
                <w:rFonts w:ascii="Calibri" w:hAnsi="Calibri" w:eastAsia="宋体" w:cs="黑体"/>
                <w:color w:val="000000"/>
                <w:sz w:val="15"/>
                <w:szCs w:val="15"/>
                <w:lang w:eastAsia="zh-CN"/>
              </w:rPr>
              <w:t>/（mg/kg</w:t>
            </w:r>
            <w:r>
              <w:rPr>
                <w:rFonts w:hint="eastAsia" w:ascii="Calibri" w:hAnsi="Calibri" w:eastAsia="宋体" w:cs="黑体"/>
                <w:color w:val="000000"/>
                <w:sz w:val="15"/>
                <w:szCs w:val="15"/>
                <w:lang w:eastAsia="zh-CN"/>
              </w:rPr>
              <w:t xml:space="preserve">）       </w:t>
            </w:r>
            <w:r>
              <w:rPr>
                <w:rFonts w:ascii="Calibri" w:hAnsi="Calibri" w:eastAsia="宋体" w:cs="黑体"/>
                <w:color w:val="000000"/>
                <w:sz w:val="15"/>
                <w:szCs w:val="15"/>
                <w:lang w:eastAsia="zh-CN"/>
              </w:rPr>
              <w:t>≤</w:t>
            </w: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铅 Pb</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1983" w:type="dxa"/>
            <w:vMerge w:val="continue"/>
            <w:tcBorders>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镉 Cd</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83" w:type="dxa"/>
            <w:vMerge w:val="continue"/>
            <w:tcBorders>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铬 Cr</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983"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1335" w:type="dxa"/>
            <w:tcBorders>
              <w:top w:val="single" w:color="000000" w:sz="4" w:space="0"/>
              <w:left w:val="single" w:color="000000" w:sz="4" w:space="0"/>
              <w:bottom w:val="single" w:color="000000" w:sz="4" w:space="0"/>
              <w:right w:val="single" w:color="000000" w:sz="4" w:space="0"/>
            </w:tcBorders>
            <w:vAlign w:val="center"/>
          </w:tcPr>
          <w:p>
            <w:pPr>
              <w:ind w:left="105" w:leftChars="5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汞 Hg</w:t>
            </w:r>
          </w:p>
        </w:tc>
        <w:tc>
          <w:tcPr>
            <w:tcW w:w="2568" w:type="dxa"/>
            <w:gridSpan w:val="2"/>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58" w:hRule="exact"/>
          <w:jc w:val="center"/>
        </w:trPr>
        <w:tc>
          <w:tcPr>
            <w:tcW w:w="5886" w:type="dxa"/>
            <w:gridSpan w:val="4"/>
            <w:tcBorders>
              <w:top w:val="single" w:color="000000" w:sz="4" w:space="0"/>
              <w:left w:val="single" w:color="000000" w:sz="4" w:space="0"/>
              <w:bottom w:val="single" w:color="000000" w:sz="4" w:space="0"/>
              <w:right w:val="single" w:color="000000" w:sz="4" w:space="0"/>
            </w:tcBorders>
            <w:vAlign w:val="center"/>
          </w:tcPr>
          <w:p>
            <w:pPr>
              <w:ind w:left="465" w:leftChars="150" w:hanging="150" w:hangingChars="10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 xml:space="preserve">a </w:t>
            </w:r>
            <w:r>
              <w:rPr>
                <w:rFonts w:hint="eastAsia" w:ascii="Calibri" w:hAnsi="Calibri" w:eastAsia="宋体" w:cs="黑体"/>
                <w:color w:val="000000"/>
                <w:sz w:val="15"/>
                <w:szCs w:val="15"/>
                <w:lang w:eastAsia="zh-CN"/>
              </w:rPr>
              <w:t>对于双组分或多组分组成的涂料，应按产品规定的配比混合后测定</w:t>
            </w:r>
            <w:r>
              <w:rPr>
                <w:rFonts w:hint="eastAsia" w:ascii="Calibri" w:hAnsi="Calibri" w:eastAsia="宋体" w:cs="MS Mincho"/>
                <w:color w:val="000000"/>
                <w:sz w:val="15"/>
                <w:szCs w:val="15"/>
                <w:lang w:eastAsia="zh-CN"/>
              </w:rPr>
              <w:t>。</w:t>
            </w:r>
            <w:r>
              <w:rPr>
                <w:rFonts w:hint="eastAsia" w:ascii="Calibri" w:hAnsi="Calibri" w:eastAsia="宋体" w:cs="宋体"/>
                <w:color w:val="000000"/>
                <w:sz w:val="15"/>
                <w:szCs w:val="15"/>
                <w:lang w:eastAsia="zh-CN"/>
              </w:rPr>
              <w:t>水不作</w:t>
            </w:r>
            <w:r>
              <w:rPr>
                <w:rFonts w:hint="eastAsia" w:ascii="Calibri" w:hAnsi="Calibri" w:eastAsia="宋体" w:cs="黑体"/>
                <w:color w:val="000000"/>
                <w:sz w:val="15"/>
                <w:szCs w:val="15"/>
                <w:lang w:eastAsia="zh-CN"/>
              </w:rPr>
              <w:t>为一个组分，测定时不考虑稀释配比。</w:t>
            </w:r>
          </w:p>
          <w:p>
            <w:pPr>
              <w:ind w:left="450" w:hanging="450" w:hangingChars="300"/>
              <w:rPr>
                <w:rFonts w:ascii="Calibri" w:hAnsi="Calibri" w:eastAsia="宋体" w:cs="黑体"/>
                <w:color w:val="000000"/>
                <w:sz w:val="15"/>
                <w:szCs w:val="15"/>
                <w:lang w:eastAsia="zh-CN"/>
              </w:rPr>
            </w:pPr>
            <w:r>
              <w:rPr>
                <w:rFonts w:hint="eastAsia" w:ascii="Calibri" w:hAnsi="Calibri" w:eastAsia="宋体" w:cs="黑体"/>
                <w:color w:val="000000"/>
                <w:sz w:val="15"/>
                <w:szCs w:val="15"/>
                <w:lang w:eastAsia="zh-CN"/>
              </w:rPr>
              <w:t xml:space="preserve">    b 粉状腻子除可溶性重金属项目直接测定粉体外，其余项目是指按产品规定的配比将粉体与水或胶粘剂等其他液体混合后测定。如配比为某一范围时，水应按照水用量最小的配比量混合后测定，胶粘剂等其他液体应按照其用量最大的配比量混合后测定。</w:t>
            </w:r>
          </w:p>
          <w:p>
            <w:pPr>
              <w:jc w:val="center"/>
              <w:rPr>
                <w:rFonts w:ascii="Calibri" w:hAnsi="Calibri" w:eastAsia="宋体" w:cs="黑体"/>
                <w:color w:val="000000"/>
                <w:sz w:val="15"/>
                <w:szCs w:val="15"/>
                <w:lang w:eastAsia="zh-CN"/>
              </w:rPr>
            </w:pPr>
          </w:p>
          <w:p>
            <w:pPr>
              <w:jc w:val="center"/>
              <w:rPr>
                <w:rFonts w:ascii="Calibri" w:hAnsi="Calibri" w:eastAsia="宋体" w:cs="黑体"/>
                <w:color w:val="000000"/>
                <w:sz w:val="15"/>
                <w:szCs w:val="15"/>
                <w:lang w:eastAsia="zh-CN"/>
              </w:rPr>
            </w:pPr>
          </w:p>
          <w:p>
            <w:pPr>
              <w:jc w:val="center"/>
              <w:rPr>
                <w:rFonts w:ascii="Calibri" w:hAnsi="Calibri" w:eastAsia="宋体" w:cs="黑体"/>
                <w:color w:val="000000"/>
                <w:sz w:val="15"/>
                <w:szCs w:val="15"/>
                <w:lang w:eastAsia="zh-CN"/>
              </w:rPr>
            </w:pPr>
            <w:r>
              <w:rPr>
                <w:rFonts w:hint="eastAsia" w:ascii="Calibri" w:hAnsi="Calibri" w:eastAsia="宋体" w:cs="黑体"/>
                <w:color w:val="000000"/>
                <w:sz w:val="15"/>
                <w:szCs w:val="15"/>
                <w:lang w:eastAsia="zh-CN"/>
              </w:rPr>
              <w:t>大的配比量混合后测定 应按照水用量最小的配比量混合后测定，胶粘剂等其他液体应按照其用量最</w:t>
            </w:r>
          </w:p>
          <w:p>
            <w:pPr>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b 膏状腻子所有项目均不考虑稀释配比；粉状腻子除可溶性重金属项目直接测试粉状体外， 其余 3 项按产品规定的配比将粉体与水或胶黏剂等其他液体混合后测试。如配比为某一范 围是，应按照水用量最小，胶黏剂等其他液体使用量最大的配比混合测试</w:t>
            </w:r>
          </w:p>
        </w:tc>
      </w:tr>
    </w:tbl>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5.1.4-2</w:t>
      </w:r>
      <w:r>
        <w:rPr>
          <w:rFonts w:eastAsia="黑体"/>
          <w:bCs/>
          <w:color w:val="000000"/>
          <w:sz w:val="18"/>
          <w:szCs w:val="18"/>
        </w:rPr>
        <w:t xml:space="preserve"> </w:t>
      </w:r>
      <w:r>
        <w:rPr>
          <w:rFonts w:eastAsia="黑体"/>
          <w:bCs/>
          <w:color w:val="000000"/>
          <w:spacing w:val="3"/>
          <w:sz w:val="18"/>
          <w:szCs w:val="18"/>
        </w:rPr>
        <w:t xml:space="preserve"> </w:t>
      </w:r>
      <w:r>
        <w:rPr>
          <w:rFonts w:eastAsia="黑体"/>
          <w:bCs/>
          <w:color w:val="000000"/>
          <w:sz w:val="18"/>
          <w:szCs w:val="18"/>
        </w:rPr>
        <w:t>人造板及其制品中甲醛释放量试验方法及限量值</w:t>
      </w:r>
    </w:p>
    <w:p>
      <w:pPr>
        <w:ind w:firstLine="360" w:firstLineChars="200"/>
        <w:jc w:val="center"/>
        <w:rPr>
          <w:rFonts w:eastAsia="黑体"/>
          <w:bCs/>
          <w:color w:val="000000"/>
          <w:sz w:val="18"/>
          <w:szCs w:val="18"/>
        </w:rPr>
      </w:pPr>
      <w:r>
        <w:rPr>
          <w:rFonts w:hint="eastAsia" w:eastAsia="黑体"/>
          <w:bCs/>
          <w:color w:val="000000"/>
          <w:sz w:val="18"/>
          <w:szCs w:val="18"/>
        </w:rPr>
        <w:t>（</w:t>
      </w:r>
      <w:r>
        <w:rPr>
          <w:rFonts w:hint="eastAsia"/>
          <w:bCs/>
          <w:color w:val="000000"/>
          <w:sz w:val="18"/>
          <w:szCs w:val="18"/>
        </w:rPr>
        <w:t>室内装饰装修材料</w:t>
      </w:r>
      <w:r>
        <w:rPr>
          <w:bCs/>
          <w:color w:val="000000"/>
          <w:sz w:val="18"/>
          <w:szCs w:val="18"/>
        </w:rPr>
        <w:t>人造板及其制品中甲醛释放</w:t>
      </w:r>
      <w:r>
        <w:rPr>
          <w:rFonts w:hint="eastAsia"/>
          <w:bCs/>
          <w:color w:val="000000"/>
          <w:sz w:val="18"/>
          <w:szCs w:val="18"/>
        </w:rPr>
        <w:t>限</w:t>
      </w:r>
      <w:r>
        <w:rPr>
          <w:bCs/>
          <w:color w:val="000000"/>
          <w:sz w:val="18"/>
          <w:szCs w:val="18"/>
        </w:rPr>
        <w:t>量</w:t>
      </w:r>
      <w:r>
        <w:rPr>
          <w:rFonts w:hint="eastAsia" w:eastAsia="黑体"/>
          <w:bCs/>
          <w:color w:val="000000"/>
          <w:sz w:val="18"/>
          <w:szCs w:val="18"/>
        </w:rPr>
        <w:t>）</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20"/>
        <w:gridCol w:w="1128"/>
        <w:gridCol w:w="1132"/>
        <w:gridCol w:w="1410"/>
        <w:gridCol w:w="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34" w:hRule="exact"/>
          <w:jc w:val="center"/>
        </w:trPr>
        <w:tc>
          <w:tcPr>
            <w:tcW w:w="1420"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产品名称</w:t>
            </w:r>
          </w:p>
        </w:tc>
        <w:tc>
          <w:tcPr>
            <w:tcW w:w="1128"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试验方法</w:t>
            </w: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限量值</w:t>
            </w:r>
          </w:p>
        </w:tc>
        <w:tc>
          <w:tcPr>
            <w:tcW w:w="1410"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使用范围</w:t>
            </w:r>
          </w:p>
        </w:tc>
        <w:tc>
          <w:tcPr>
            <w:tcW w:w="796"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限量标 志b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84" w:hRule="exact"/>
          <w:jc w:val="center"/>
        </w:trPr>
        <w:tc>
          <w:tcPr>
            <w:tcW w:w="1420"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中密度纤维板、高密度纤维板、刨花板、定向刨花板等</w:t>
            </w:r>
          </w:p>
        </w:tc>
        <w:tc>
          <w:tcPr>
            <w:tcW w:w="1128"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穿孔萃取法</w:t>
            </w: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≤9mg/100g</w:t>
            </w:r>
          </w:p>
        </w:tc>
        <w:tc>
          <w:tcPr>
            <w:tcW w:w="1410"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可直接用于室内</w:t>
            </w:r>
          </w:p>
        </w:tc>
        <w:tc>
          <w:tcPr>
            <w:tcW w:w="796" w:type="dxa"/>
            <w:tcBorders>
              <w:top w:val="single" w:color="000000" w:sz="4" w:space="0"/>
              <w:left w:val="single" w:color="000000" w:sz="4" w:space="0"/>
              <w:bottom w:val="single" w:color="000000" w:sz="4" w:space="0"/>
              <w:right w:val="single" w:color="000000" w:sz="4" w:space="0"/>
            </w:tcBorders>
            <w:vAlign w:val="center"/>
          </w:tcPr>
          <w:p>
            <w:pPr>
              <w:spacing w:before="28"/>
              <w:ind w:left="3"/>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E1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6" w:hRule="exact"/>
          <w:jc w:val="center"/>
        </w:trPr>
        <w:tc>
          <w:tcPr>
            <w:tcW w:w="1420"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rPr>
                <w:rFonts w:ascii="Calibri" w:hAnsi="Calibri" w:eastAsia="宋体" w:cs="黑体"/>
                <w:color w:val="000000"/>
                <w:sz w:val="15"/>
                <w:szCs w:val="15"/>
                <w:lang w:eastAsia="en-US"/>
              </w:rPr>
            </w:pPr>
          </w:p>
        </w:tc>
        <w:tc>
          <w:tcPr>
            <w:tcW w:w="1128"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≤30mg/100g</w:t>
            </w:r>
          </w:p>
        </w:tc>
        <w:tc>
          <w:tcPr>
            <w:tcW w:w="1410"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必须饰面处理后可允许用于室内</w:t>
            </w:r>
          </w:p>
        </w:tc>
        <w:tc>
          <w:tcPr>
            <w:tcW w:w="796"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E2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634" w:hRule="exact"/>
          <w:jc w:val="center"/>
        </w:trPr>
        <w:tc>
          <w:tcPr>
            <w:tcW w:w="1420"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胶合板、装饰单板贴面胶合板、细木工板等</w:t>
            </w:r>
          </w:p>
        </w:tc>
        <w:tc>
          <w:tcPr>
            <w:tcW w:w="1128"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干燥器法</w:t>
            </w: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≤1.5mg/L</w:t>
            </w:r>
          </w:p>
        </w:tc>
        <w:tc>
          <w:tcPr>
            <w:tcW w:w="1410" w:type="dxa"/>
            <w:tcBorders>
              <w:top w:val="single" w:color="000000" w:sz="4" w:space="0"/>
              <w:left w:val="single" w:color="000000" w:sz="4" w:space="0"/>
              <w:bottom w:val="single" w:color="000000" w:sz="4" w:space="0"/>
              <w:right w:val="single" w:color="000000" w:sz="4" w:space="0"/>
            </w:tcBorders>
            <w:vAlign w:val="top"/>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可直接用于室内</w:t>
            </w:r>
          </w:p>
        </w:tc>
        <w:tc>
          <w:tcPr>
            <w:tcW w:w="796" w:type="dxa"/>
            <w:tcBorders>
              <w:top w:val="single" w:color="000000" w:sz="4" w:space="0"/>
              <w:left w:val="single" w:color="000000" w:sz="4" w:space="0"/>
              <w:bottom w:val="single" w:color="000000" w:sz="4" w:space="0"/>
              <w:right w:val="single" w:color="000000" w:sz="4" w:space="0"/>
            </w:tcBorders>
            <w:vAlign w:val="center"/>
          </w:tcPr>
          <w:p>
            <w:pPr>
              <w:spacing w:before="28"/>
              <w:ind w:left="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E1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9" w:hRule="exact"/>
          <w:jc w:val="center"/>
        </w:trPr>
        <w:tc>
          <w:tcPr>
            <w:tcW w:w="1420"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rPr>
                <w:rFonts w:ascii="Calibri" w:hAnsi="Calibri" w:eastAsia="宋体" w:cs="黑体"/>
                <w:color w:val="000000"/>
                <w:sz w:val="15"/>
                <w:szCs w:val="15"/>
                <w:lang w:eastAsia="en-US"/>
              </w:rPr>
            </w:pPr>
          </w:p>
        </w:tc>
        <w:tc>
          <w:tcPr>
            <w:tcW w:w="1128"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≤1.5mg/L</w:t>
            </w:r>
          </w:p>
        </w:tc>
        <w:tc>
          <w:tcPr>
            <w:tcW w:w="1410"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必须饰面处理后可允许用于室内</w:t>
            </w:r>
          </w:p>
        </w:tc>
        <w:tc>
          <w:tcPr>
            <w:tcW w:w="796"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E2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25" w:hRule="exact"/>
          <w:jc w:val="center"/>
        </w:trPr>
        <w:tc>
          <w:tcPr>
            <w:tcW w:w="1420"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装饰人造板（包括浸渍纸层压水质地板、实木复合地板、竹地板、浸渍胶膜纸饰面人造板等）</w:t>
            </w:r>
          </w:p>
        </w:tc>
        <w:tc>
          <w:tcPr>
            <w:tcW w:w="1128"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气候箱法 a</w:t>
            </w: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≤0.12mg/m³</w:t>
            </w:r>
          </w:p>
        </w:tc>
        <w:tc>
          <w:tcPr>
            <w:tcW w:w="1410" w:type="dxa"/>
            <w:vMerge w:val="restart"/>
            <w:tcBorders>
              <w:top w:val="single" w:color="000000" w:sz="4" w:space="0"/>
              <w:left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可直接用于室内</w:t>
            </w:r>
          </w:p>
        </w:tc>
        <w:tc>
          <w:tcPr>
            <w:tcW w:w="796" w:type="dxa"/>
            <w:vMerge w:val="restart"/>
            <w:tcBorders>
              <w:top w:val="single" w:color="000000" w:sz="4" w:space="0"/>
              <w:left w:val="single" w:color="000000" w:sz="4" w:space="0"/>
              <w:right w:val="single" w:color="000000" w:sz="4" w:space="0"/>
            </w:tcBorders>
            <w:vAlign w:val="center"/>
          </w:tcPr>
          <w:p>
            <w:pPr>
              <w:spacing w:before="28"/>
              <w:ind w:left="3"/>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E1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31" w:hRule="exact"/>
          <w:jc w:val="center"/>
        </w:trPr>
        <w:tc>
          <w:tcPr>
            <w:tcW w:w="1420"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p>
        </w:tc>
        <w:tc>
          <w:tcPr>
            <w:tcW w:w="1128"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干燥器法</w:t>
            </w:r>
          </w:p>
        </w:tc>
        <w:tc>
          <w:tcPr>
            <w:tcW w:w="1132" w:type="dxa"/>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≤1.5mg/L</w:t>
            </w:r>
          </w:p>
        </w:tc>
        <w:tc>
          <w:tcPr>
            <w:tcW w:w="1410"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p>
        </w:tc>
        <w:tc>
          <w:tcPr>
            <w:tcW w:w="796" w:type="dxa"/>
            <w:vMerge w:val="continue"/>
            <w:tcBorders>
              <w:left w:val="single" w:color="000000" w:sz="4" w:space="0"/>
              <w:bottom w:val="single" w:color="000000" w:sz="4" w:space="0"/>
              <w:right w:val="single" w:color="000000" w:sz="4" w:space="0"/>
            </w:tcBorders>
            <w:vAlign w:val="center"/>
          </w:tcPr>
          <w:p>
            <w:pPr>
              <w:spacing w:line="273" w:lineRule="auto"/>
              <w:ind w:left="103" w:right="89" w:hanging="10"/>
              <w:jc w:val="center"/>
              <w:rPr>
                <w:rFonts w:ascii="Calibri" w:hAnsi="Calibri" w:eastAsia="宋体" w:cs="黑体"/>
                <w:color w:val="00000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753" w:hRule="exact"/>
          <w:jc w:val="center"/>
        </w:trPr>
        <w:tc>
          <w:tcPr>
            <w:tcW w:w="5886" w:type="dxa"/>
            <w:gridSpan w:val="5"/>
            <w:tcBorders>
              <w:top w:val="single" w:color="000000" w:sz="4" w:space="0"/>
              <w:left w:val="single" w:color="000000" w:sz="4" w:space="0"/>
              <w:bottom w:val="single" w:color="000000" w:sz="4" w:space="0"/>
              <w:right w:val="single" w:color="000000" w:sz="4" w:space="0"/>
            </w:tcBorders>
            <w:vAlign w:val="center"/>
          </w:tcPr>
          <w:p>
            <w:pPr>
              <w:spacing w:line="273" w:lineRule="auto"/>
              <w:ind w:left="103" w:right="89" w:firstLine="225" w:firstLineChars="150"/>
              <w:jc w:val="left"/>
              <w:rPr>
                <w:rFonts w:ascii="Calibri" w:hAnsi="Calibri" w:eastAsia="宋体" w:cs="黑体"/>
                <w:color w:val="000000"/>
                <w:sz w:val="15"/>
                <w:szCs w:val="15"/>
                <w:lang w:eastAsia="zh-CN"/>
              </w:rPr>
            </w:pPr>
            <w:r>
              <w:rPr>
                <w:rFonts w:ascii="Calibri" w:hAnsi="Calibri" w:eastAsia="宋体" w:cs="黑体"/>
                <w:color w:val="000000"/>
                <w:sz w:val="15"/>
                <w:szCs w:val="15"/>
                <w:lang w:eastAsia="zh-CN"/>
              </w:rPr>
              <w:t>a</w:t>
            </w:r>
            <w:r>
              <w:rPr>
                <w:rFonts w:hint="eastAsia" w:ascii="Calibri" w:hAnsi="Calibri" w:eastAsia="宋体" w:cs="黑体"/>
                <w:color w:val="000000"/>
                <w:sz w:val="15"/>
                <w:szCs w:val="15"/>
                <w:lang w:eastAsia="zh-CN"/>
              </w:rPr>
              <w:t xml:space="preserve">  </w:t>
            </w:r>
            <w:r>
              <w:rPr>
                <w:rFonts w:ascii="Calibri" w:hAnsi="Calibri" w:eastAsia="宋体" w:cs="黑体"/>
                <w:color w:val="000000"/>
                <w:sz w:val="15"/>
                <w:szCs w:val="15"/>
                <w:lang w:eastAsia="zh-CN"/>
              </w:rPr>
              <w:t>仲裁是采用气候箱法</w:t>
            </w:r>
          </w:p>
          <w:p>
            <w:pPr>
              <w:spacing w:line="273" w:lineRule="auto"/>
              <w:ind w:left="103" w:right="89" w:firstLine="225" w:firstLineChars="150"/>
              <w:jc w:val="left"/>
              <w:rPr>
                <w:rFonts w:ascii="Calibri" w:hAnsi="Calibri" w:eastAsia="宋体" w:cs="黑体"/>
                <w:color w:val="000000"/>
                <w:sz w:val="15"/>
                <w:szCs w:val="15"/>
                <w:lang w:eastAsia="zh-CN"/>
              </w:rPr>
            </w:pPr>
            <w:r>
              <w:rPr>
                <w:rFonts w:ascii="Calibri" w:hAnsi="Calibri" w:eastAsia="宋体" w:cs="黑体"/>
                <w:color w:val="000000"/>
                <w:sz w:val="15"/>
                <w:szCs w:val="15"/>
                <w:lang w:eastAsia="zh-CN"/>
              </w:rPr>
              <w:t>b</w:t>
            </w:r>
            <w:r>
              <w:rPr>
                <w:rFonts w:hint="eastAsia" w:ascii="Calibri" w:hAnsi="Calibri" w:eastAsia="宋体" w:cs="黑体"/>
                <w:color w:val="000000"/>
                <w:sz w:val="15"/>
                <w:szCs w:val="15"/>
                <w:lang w:eastAsia="zh-CN"/>
              </w:rPr>
              <w:t xml:space="preserve">  </w:t>
            </w:r>
            <w:r>
              <w:rPr>
                <w:rFonts w:ascii="Calibri" w:hAnsi="Calibri" w:eastAsia="宋体" w:cs="黑体"/>
                <w:color w:val="000000"/>
                <w:sz w:val="15"/>
                <w:szCs w:val="15"/>
                <w:lang w:eastAsia="zh-CN"/>
              </w:rPr>
              <w:t>E1 可直接用于室内的人造板，E2 为必须饰面处理后允许用于室内的人造板。</w:t>
            </w:r>
          </w:p>
        </w:tc>
      </w:tr>
    </w:tbl>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5.1.4-3</w:t>
      </w:r>
      <w:r>
        <w:rPr>
          <w:rFonts w:eastAsia="黑体"/>
          <w:bCs/>
          <w:color w:val="000000"/>
          <w:sz w:val="18"/>
          <w:szCs w:val="18"/>
        </w:rPr>
        <w:t xml:space="preserve"> </w:t>
      </w:r>
      <w:r>
        <w:rPr>
          <w:rFonts w:eastAsia="黑体"/>
          <w:bCs/>
          <w:color w:val="000000"/>
          <w:spacing w:val="3"/>
          <w:sz w:val="18"/>
          <w:szCs w:val="18"/>
        </w:rPr>
        <w:t xml:space="preserve"> </w:t>
      </w:r>
      <w:r>
        <w:rPr>
          <w:rFonts w:hint="eastAsia" w:eastAsia="黑体"/>
          <w:bCs/>
          <w:color w:val="000000"/>
          <w:sz w:val="18"/>
          <w:szCs w:val="18"/>
        </w:rPr>
        <w:t>溶剂型木器涂料中有害物质限量</w:t>
      </w:r>
    </w:p>
    <w:p>
      <w:pPr>
        <w:ind w:firstLine="360" w:firstLineChars="200"/>
        <w:jc w:val="center"/>
        <w:rPr>
          <w:rFonts w:eastAsia="黑体"/>
          <w:bCs/>
          <w:color w:val="000000"/>
          <w:sz w:val="18"/>
          <w:szCs w:val="18"/>
        </w:rPr>
      </w:pPr>
      <w:r>
        <w:rPr>
          <w:rFonts w:hint="eastAsia" w:eastAsia="黑体"/>
          <w:bCs/>
          <w:color w:val="000000"/>
          <w:sz w:val="18"/>
          <w:szCs w:val="18"/>
        </w:rPr>
        <w:t>（</w:t>
      </w:r>
      <w:r>
        <w:rPr>
          <w:rFonts w:hint="eastAsia"/>
          <w:bCs/>
          <w:color w:val="000000"/>
          <w:sz w:val="18"/>
          <w:szCs w:val="18"/>
        </w:rPr>
        <w:t>室内装饰装修材料溶剂型木器涂料中有害物质限</w:t>
      </w:r>
      <w:r>
        <w:rPr>
          <w:bCs/>
          <w:color w:val="000000"/>
          <w:sz w:val="18"/>
          <w:szCs w:val="18"/>
        </w:rPr>
        <w:t>量</w:t>
      </w:r>
      <w:r>
        <w:rPr>
          <w:rFonts w:hint="eastAsia" w:eastAsia="黑体"/>
          <w:bCs/>
          <w:color w:val="000000"/>
          <w:sz w:val="18"/>
          <w:szCs w:val="18"/>
        </w:rPr>
        <w:t>）</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14"/>
        <w:gridCol w:w="838"/>
        <w:gridCol w:w="1227"/>
        <w:gridCol w:w="565"/>
        <w:gridCol w:w="141"/>
        <w:gridCol w:w="424"/>
        <w:gridCol w:w="142"/>
        <w:gridCol w:w="423"/>
        <w:gridCol w:w="5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2452" w:type="dxa"/>
            <w:gridSpan w:val="2"/>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项目</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限量值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1" w:hRule="atLeast"/>
          <w:jc w:val="center"/>
        </w:trPr>
        <w:tc>
          <w:tcPr>
            <w:tcW w:w="2452" w:type="dxa"/>
            <w:gridSpan w:val="2"/>
            <w:vMerge w:val="continue"/>
            <w:tcBorders>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1792" w:type="dxa"/>
            <w:gridSpan w:val="2"/>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聚氨酯类涂料</w:t>
            </w:r>
          </w:p>
        </w:tc>
        <w:tc>
          <w:tcPr>
            <w:tcW w:w="565" w:type="dxa"/>
            <w:gridSpan w:val="2"/>
            <w:vMerge w:val="restart"/>
            <w:tcBorders>
              <w:top w:val="single" w:color="000000" w:sz="4" w:space="0"/>
              <w:left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硝基类涂料</w:t>
            </w:r>
          </w:p>
        </w:tc>
        <w:tc>
          <w:tcPr>
            <w:tcW w:w="565" w:type="dxa"/>
            <w:gridSpan w:val="2"/>
            <w:vMerge w:val="restart"/>
            <w:tcBorders>
              <w:top w:val="single" w:color="000000" w:sz="4" w:space="0"/>
              <w:left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醇酸类涂料</w:t>
            </w:r>
          </w:p>
        </w:tc>
        <w:tc>
          <w:tcPr>
            <w:tcW w:w="512" w:type="dxa"/>
            <w:vMerge w:val="restart"/>
            <w:tcBorders>
              <w:top w:val="single" w:color="000000" w:sz="4" w:space="0"/>
              <w:left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腻子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7" w:hRule="exact"/>
          <w:jc w:val="center"/>
        </w:trPr>
        <w:tc>
          <w:tcPr>
            <w:tcW w:w="2452" w:type="dxa"/>
            <w:gridSpan w:val="2"/>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227"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面漆</w:t>
            </w:r>
          </w:p>
        </w:tc>
        <w:tc>
          <w:tcPr>
            <w:tcW w:w="565"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底漆</w:t>
            </w:r>
          </w:p>
        </w:tc>
        <w:tc>
          <w:tcPr>
            <w:tcW w:w="565" w:type="dxa"/>
            <w:gridSpan w:val="2"/>
            <w:vMerge w:val="continue"/>
            <w:tcBorders>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p>
        </w:tc>
        <w:tc>
          <w:tcPr>
            <w:tcW w:w="565" w:type="dxa"/>
            <w:gridSpan w:val="2"/>
            <w:vMerge w:val="continue"/>
            <w:tcBorders>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p>
        </w:tc>
        <w:tc>
          <w:tcPr>
            <w:tcW w:w="512" w:type="dxa"/>
            <w:vMerge w:val="continue"/>
            <w:tcBorders>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83"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挥发性有机化合物含量（VOC）</w:t>
            </w:r>
            <w:r>
              <w:rPr>
                <w:rFonts w:hint="eastAsia" w:ascii="Calibri" w:hAnsi="Calibri" w:eastAsia="宋体" w:cs="黑体"/>
                <w:color w:val="000000"/>
                <w:sz w:val="15"/>
                <w:szCs w:val="15"/>
                <w:lang w:eastAsia="en-US"/>
              </w:rPr>
              <w:t xml:space="preserve">含量 </w:t>
            </w:r>
            <w:r>
              <w:rPr>
                <w:rFonts w:hint="eastAsia" w:ascii="Calibri" w:hAnsi="Calibri" w:eastAsia="宋体" w:cs="黑体"/>
                <w:color w:val="000000"/>
                <w:sz w:val="15"/>
                <w:szCs w:val="15"/>
                <w:vertAlign w:val="superscript"/>
                <w:lang w:eastAsia="en-US"/>
              </w:rPr>
              <w:t>a</w:t>
            </w:r>
            <w:r>
              <w:rPr>
                <w:rFonts w:hint="eastAsia" w:ascii="Calibri" w:hAnsi="Calibri" w:eastAsia="宋体" w:cs="黑体"/>
                <w:color w:val="000000"/>
                <w:sz w:val="15"/>
                <w:szCs w:val="15"/>
                <w:lang w:eastAsia="en-US"/>
              </w:rPr>
              <w:t xml:space="preserve"> / （g/L）                 </w:t>
            </w:r>
            <w:r>
              <w:rPr>
                <w:rFonts w:ascii="Calibri" w:hAnsi="Calibri" w:eastAsia="宋体" w:cs="黑体"/>
                <w:color w:val="000000"/>
                <w:sz w:val="15"/>
                <w:szCs w:val="15"/>
                <w:lang w:eastAsia="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光泽（60°）</w:t>
            </w:r>
            <w:r>
              <w:rPr>
                <w:rFonts w:ascii="Calibri" w:hAnsi="Calibri" w:eastAsia="宋体" w:cs="黑体"/>
                <w:color w:val="000000"/>
                <w:kern w:val="0"/>
                <w:sz w:val="15"/>
                <w:szCs w:val="15"/>
                <w:lang w:eastAsia="zh-CN"/>
              </w:rPr>
              <w:t>≥</w:t>
            </w:r>
            <w:r>
              <w:rPr>
                <w:rFonts w:hint="eastAsia" w:ascii="Calibri" w:hAnsi="Calibri" w:eastAsia="宋体" w:cs="黑体"/>
                <w:color w:val="000000"/>
                <w:kern w:val="0"/>
                <w:sz w:val="15"/>
                <w:szCs w:val="15"/>
                <w:lang w:eastAsia="zh-CN"/>
              </w:rPr>
              <w:t>80.580</w:t>
            </w:r>
          </w:p>
          <w:p>
            <w:pPr>
              <w:jc w:val="center"/>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光泽（60°）&lt;80.670</w:t>
            </w:r>
          </w:p>
          <w:p>
            <w:pPr>
              <w:jc w:val="center"/>
              <w:rPr>
                <w:rFonts w:ascii="Calibri" w:hAnsi="Calibri" w:eastAsia="宋体" w:cs="黑体"/>
                <w:color w:val="000000"/>
                <w:kern w:val="0"/>
                <w:sz w:val="15"/>
                <w:szCs w:val="15"/>
                <w:lang w:eastAsia="zh-CN"/>
              </w:rPr>
            </w:pPr>
          </w:p>
        </w:tc>
        <w:tc>
          <w:tcPr>
            <w:tcW w:w="56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670</w:t>
            </w:r>
          </w:p>
        </w:tc>
        <w:tc>
          <w:tcPr>
            <w:tcW w:w="5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720</w:t>
            </w:r>
          </w:p>
        </w:tc>
        <w:tc>
          <w:tcPr>
            <w:tcW w:w="56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500</w:t>
            </w:r>
          </w:p>
        </w:tc>
        <w:tc>
          <w:tcPr>
            <w:tcW w:w="5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苯含量</w:t>
            </w:r>
            <w:r>
              <w:rPr>
                <w:rFonts w:hint="eastAsia" w:ascii="Calibri" w:hAnsi="Calibri" w:eastAsia="宋体" w:cs="黑体"/>
                <w:color w:val="000000"/>
                <w:sz w:val="15"/>
                <w:szCs w:val="15"/>
                <w:vertAlign w:val="superscript"/>
                <w:lang w:eastAsia="en-US"/>
              </w:rPr>
              <w:t>a</w:t>
            </w:r>
            <w:r>
              <w:rPr>
                <w:rFonts w:ascii="Calibri" w:hAnsi="Calibri" w:eastAsia="宋体" w:cs="黑体"/>
                <w:color w:val="000000"/>
                <w:sz w:val="15"/>
                <w:szCs w:val="15"/>
                <w:lang w:eastAsia="en-US"/>
              </w:rPr>
              <w:t xml:space="preserve"> /</w:t>
            </w:r>
            <w:r>
              <w:rPr>
                <w:rFonts w:hint="eastAsia" w:ascii="Calibri" w:hAnsi="Calibri" w:eastAsia="宋体" w:cs="黑体"/>
                <w:color w:val="000000"/>
                <w:sz w:val="15"/>
                <w:szCs w:val="15"/>
                <w:lang w:eastAsia="en-US"/>
              </w:rPr>
              <w:t xml:space="preserve"> %                </w:t>
            </w:r>
            <w:r>
              <w:rPr>
                <w:rFonts w:ascii="Calibri" w:hAnsi="Calibri" w:eastAsia="宋体" w:cs="黑体"/>
                <w:color w:val="000000"/>
                <w:sz w:val="15"/>
                <w:szCs w:val="15"/>
                <w:lang w:eastAsia="en-US"/>
              </w:rPr>
              <w:t>≤</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sz w:val="15"/>
                <w:szCs w:val="15"/>
                <w:lang w:eastAsia="en-US"/>
              </w:rPr>
              <w:t>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6"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甲苯</w:t>
            </w:r>
            <w:r>
              <w:rPr>
                <w:rFonts w:hint="eastAsia" w:ascii="Calibri" w:hAnsi="Calibri" w:eastAsia="宋体" w:cs="黑体"/>
                <w:color w:val="000000"/>
                <w:sz w:val="15"/>
                <w:szCs w:val="15"/>
                <w:lang w:eastAsia="zh-CN"/>
              </w:rPr>
              <w:t>、二甲苯</w:t>
            </w:r>
            <w:r>
              <w:rPr>
                <w:rFonts w:ascii="Calibri" w:hAnsi="Calibri" w:eastAsia="宋体" w:cs="黑体"/>
                <w:color w:val="000000"/>
                <w:sz w:val="15"/>
                <w:szCs w:val="15"/>
                <w:lang w:eastAsia="zh-CN"/>
              </w:rPr>
              <w:t>、乙苯</w:t>
            </w:r>
            <w:r>
              <w:rPr>
                <w:rFonts w:hint="eastAsia" w:ascii="Calibri" w:hAnsi="Calibri" w:eastAsia="宋体" w:cs="黑体"/>
                <w:color w:val="000000"/>
                <w:sz w:val="15"/>
                <w:szCs w:val="15"/>
                <w:lang w:eastAsia="zh-CN"/>
              </w:rPr>
              <w:t>含量</w:t>
            </w:r>
          </w:p>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总和</w:t>
            </w:r>
            <w:r>
              <w:rPr>
                <w:rFonts w:hint="eastAsia" w:ascii="Calibri" w:hAnsi="Calibri" w:eastAsia="宋体" w:cs="黑体"/>
                <w:color w:val="000000"/>
                <w:sz w:val="15"/>
                <w:szCs w:val="15"/>
                <w:vertAlign w:val="superscript"/>
                <w:lang w:eastAsia="zh-CN"/>
              </w:rPr>
              <w:t>a</w:t>
            </w:r>
            <w:r>
              <w:rPr>
                <w:rFonts w:ascii="Calibri" w:hAnsi="Calibri" w:eastAsia="宋体" w:cs="黑体"/>
                <w:color w:val="000000"/>
                <w:sz w:val="15"/>
                <w:szCs w:val="15"/>
                <w:lang w:eastAsia="zh-CN"/>
              </w:rPr>
              <w:t xml:space="preserve"> /</w:t>
            </w:r>
            <w:r>
              <w:rPr>
                <w:rFonts w:hint="eastAsia" w:ascii="Calibri" w:hAnsi="Calibri" w:eastAsia="宋体" w:cs="黑体"/>
                <w:color w:val="000000"/>
                <w:sz w:val="15"/>
                <w:szCs w:val="15"/>
                <w:lang w:eastAsia="zh-CN"/>
              </w:rPr>
              <w:t xml:space="preserve"> %                  </w:t>
            </w:r>
            <w:r>
              <w:rPr>
                <w:rFonts w:ascii="Calibri" w:hAnsi="Calibri" w:eastAsia="宋体" w:cs="黑体"/>
                <w:color w:val="000000"/>
                <w:sz w:val="15"/>
                <w:szCs w:val="15"/>
                <w:lang w:eastAsia="zh-CN"/>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30</w:t>
            </w:r>
          </w:p>
        </w:tc>
        <w:tc>
          <w:tcPr>
            <w:tcW w:w="70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30</w:t>
            </w:r>
          </w:p>
        </w:tc>
        <w:tc>
          <w:tcPr>
            <w:tcW w:w="56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5</w:t>
            </w:r>
          </w:p>
        </w:tc>
        <w:tc>
          <w:tcPr>
            <w:tcW w:w="9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87"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游离二异氰酸酯（TDI/HDI）</w:t>
            </w:r>
            <w:r>
              <w:rPr>
                <w:rFonts w:hint="eastAsia" w:ascii="Calibri" w:hAnsi="Calibri" w:eastAsia="宋体" w:cs="黑体"/>
                <w:color w:val="000000"/>
                <w:sz w:val="15"/>
                <w:szCs w:val="15"/>
                <w:lang w:eastAsia="en-US"/>
              </w:rPr>
              <w:t>含量</w:t>
            </w:r>
            <w:r>
              <w:rPr>
                <w:rFonts w:ascii="Calibri" w:hAnsi="Calibri" w:eastAsia="宋体" w:cs="黑体"/>
                <w:color w:val="000000"/>
                <w:sz w:val="15"/>
                <w:szCs w:val="15"/>
                <w:lang w:eastAsia="en-US"/>
              </w:rPr>
              <w:t>总和</w:t>
            </w:r>
            <w:r>
              <w:rPr>
                <w:rFonts w:hint="eastAsia" w:ascii="Calibri" w:hAnsi="Calibri" w:eastAsia="宋体" w:cs="黑体"/>
                <w:color w:val="000000"/>
                <w:sz w:val="15"/>
                <w:szCs w:val="15"/>
                <w:vertAlign w:val="superscript"/>
                <w:lang w:eastAsia="en-US"/>
              </w:rPr>
              <w:t>b</w:t>
            </w:r>
            <w:r>
              <w:rPr>
                <w:rFonts w:ascii="Calibri" w:hAnsi="Calibri" w:eastAsia="宋体" w:cs="黑体"/>
                <w:color w:val="000000"/>
                <w:sz w:val="15"/>
                <w:szCs w:val="15"/>
                <w:lang w:eastAsia="en-US"/>
              </w:rPr>
              <w:t xml:space="preserve"> /</w:t>
            </w:r>
            <w:r>
              <w:rPr>
                <w:rFonts w:hint="eastAsia" w:ascii="Calibri" w:hAnsi="Calibri" w:eastAsia="宋体" w:cs="黑体"/>
                <w:color w:val="000000"/>
                <w:sz w:val="15"/>
                <w:szCs w:val="15"/>
                <w:lang w:eastAsia="en-US"/>
              </w:rPr>
              <w:t xml:space="preserve"> %                    </w:t>
            </w:r>
            <w:r>
              <w:rPr>
                <w:rFonts w:ascii="Calibri" w:hAnsi="Calibri" w:eastAsia="宋体" w:cs="黑体"/>
                <w:color w:val="000000"/>
                <w:sz w:val="15"/>
                <w:szCs w:val="15"/>
                <w:lang w:eastAsia="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0.4</w:t>
            </w:r>
          </w:p>
        </w:tc>
        <w:tc>
          <w:tcPr>
            <w:tcW w:w="70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56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0.4</w:t>
            </w:r>
          </w:p>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（限聚氨酯腻子）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00"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甲醇含量</w:t>
            </w:r>
            <w:r>
              <w:rPr>
                <w:rFonts w:hint="eastAsia" w:ascii="Calibri" w:hAnsi="Calibri" w:eastAsia="宋体" w:cs="黑体"/>
                <w:color w:val="000000"/>
                <w:sz w:val="15"/>
                <w:szCs w:val="15"/>
                <w:vertAlign w:val="superscript"/>
                <w:lang w:eastAsia="en-US"/>
              </w:rPr>
              <w:t>a</w:t>
            </w:r>
            <w:r>
              <w:rPr>
                <w:rFonts w:ascii="Calibri" w:hAnsi="Calibri" w:eastAsia="宋体" w:cs="黑体"/>
                <w:color w:val="000000"/>
                <w:sz w:val="15"/>
                <w:szCs w:val="15"/>
                <w:lang w:eastAsia="en-US"/>
              </w:rPr>
              <w:t xml:space="preserve"> /</w:t>
            </w:r>
            <w:r>
              <w:rPr>
                <w:rFonts w:hint="eastAsia" w:ascii="Calibri" w:hAnsi="Calibri" w:eastAsia="宋体" w:cs="黑体"/>
                <w:color w:val="000000"/>
                <w:sz w:val="15"/>
                <w:szCs w:val="15"/>
                <w:lang w:eastAsia="en-US"/>
              </w:rPr>
              <w:t xml:space="preserve"> %              </w:t>
            </w:r>
            <w:r>
              <w:rPr>
                <w:rFonts w:ascii="Calibri" w:hAnsi="Calibri" w:eastAsia="宋体" w:cs="黑体"/>
                <w:color w:val="000000"/>
                <w:sz w:val="15"/>
                <w:szCs w:val="15"/>
                <w:lang w:eastAsia="en-US"/>
              </w:rPr>
              <w:t>≤</w:t>
            </w:r>
          </w:p>
        </w:tc>
        <w:tc>
          <w:tcPr>
            <w:tcW w:w="122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70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0.3</w:t>
            </w:r>
          </w:p>
        </w:tc>
        <w:tc>
          <w:tcPr>
            <w:tcW w:w="56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3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0.3</w:t>
            </w:r>
          </w:p>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（限硝基类腻子）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1" w:hRule="exact"/>
          <w:jc w:val="center"/>
        </w:trPr>
        <w:tc>
          <w:tcPr>
            <w:tcW w:w="2452" w:type="dxa"/>
            <w:gridSpan w:val="2"/>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卤代烃含量</w:t>
            </w:r>
            <w:r>
              <w:rPr>
                <w:rFonts w:hint="eastAsia" w:ascii="Calibri" w:hAnsi="Calibri" w:eastAsia="宋体" w:cs="黑体"/>
                <w:color w:val="000000"/>
                <w:sz w:val="15"/>
                <w:szCs w:val="15"/>
                <w:vertAlign w:val="superscript"/>
                <w:lang w:eastAsia="en-US"/>
              </w:rPr>
              <w:t>a.c</w:t>
            </w:r>
            <w:r>
              <w:rPr>
                <w:rFonts w:ascii="Calibri" w:hAnsi="Calibri" w:eastAsia="宋体" w:cs="黑体"/>
                <w:color w:val="000000"/>
                <w:sz w:val="15"/>
                <w:szCs w:val="15"/>
                <w:lang w:eastAsia="en-US"/>
              </w:rPr>
              <w:t xml:space="preserve"> /</w:t>
            </w:r>
            <w:r>
              <w:rPr>
                <w:rFonts w:hint="eastAsia" w:ascii="Calibri" w:hAnsi="Calibri" w:eastAsia="宋体" w:cs="黑体"/>
                <w:color w:val="000000"/>
                <w:sz w:val="15"/>
                <w:szCs w:val="15"/>
                <w:lang w:eastAsia="en-US"/>
              </w:rPr>
              <w:t xml:space="preserve"> %           </w:t>
            </w:r>
            <w:r>
              <w:rPr>
                <w:rFonts w:ascii="Calibri" w:hAnsi="Calibri" w:eastAsia="宋体" w:cs="黑体"/>
                <w:color w:val="000000"/>
                <w:sz w:val="15"/>
                <w:szCs w:val="15"/>
                <w:lang w:eastAsia="en-US"/>
              </w:rPr>
              <w:t>≤</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614" w:type="dxa"/>
            <w:vMerge w:val="restart"/>
            <w:tcBorders>
              <w:top w:val="single" w:color="000000" w:sz="4" w:space="0"/>
              <w:left w:val="single" w:color="000000" w:sz="4" w:space="0"/>
              <w:right w:val="single" w:color="000000" w:sz="4" w:space="0"/>
            </w:tcBorders>
            <w:vAlign w:val="center"/>
          </w:tcPr>
          <w:p>
            <w:pPr>
              <w:ind w:left="105" w:leftChars="50"/>
              <w:rPr>
                <w:rFonts w:ascii="Calibri" w:hAnsi="Calibri" w:eastAsia="宋体" w:cs="黑体"/>
                <w:color w:val="000000"/>
                <w:sz w:val="15"/>
                <w:szCs w:val="15"/>
                <w:lang w:eastAsia="zh-CN"/>
              </w:rPr>
            </w:pPr>
            <w:r>
              <w:rPr>
                <w:rFonts w:ascii="Calibri" w:hAnsi="Calibri" w:eastAsia="宋体" w:cs="黑体"/>
                <w:color w:val="000000"/>
                <w:sz w:val="15"/>
                <w:szCs w:val="15"/>
                <w:lang w:eastAsia="zh-CN"/>
              </w:rPr>
              <w:t>可溶性金属</w:t>
            </w:r>
            <w:r>
              <w:rPr>
                <w:rFonts w:hint="eastAsia" w:ascii="Calibri" w:hAnsi="Calibri" w:eastAsia="宋体" w:cs="黑体"/>
                <w:color w:val="000000"/>
                <w:sz w:val="15"/>
                <w:szCs w:val="15"/>
                <w:lang w:eastAsia="zh-CN"/>
              </w:rPr>
              <w:t>含量（限色漆、腻子和醇酸清漆）</w:t>
            </w:r>
          </w:p>
          <w:p>
            <w:pPr>
              <w:ind w:left="105" w:leftChars="50"/>
              <w:rPr>
                <w:rFonts w:ascii="Calibri" w:hAnsi="Calibri" w:eastAsia="宋体" w:cs="黑体"/>
                <w:color w:val="000000"/>
                <w:sz w:val="15"/>
                <w:szCs w:val="15"/>
                <w:lang w:eastAsia="en-US"/>
              </w:rPr>
            </w:pPr>
            <w:r>
              <w:rPr>
                <w:rFonts w:ascii="Calibri" w:hAnsi="Calibri" w:eastAsia="宋体" w:cs="黑体"/>
                <w:color w:val="000000"/>
                <w:sz w:val="15"/>
                <w:szCs w:val="15"/>
                <w:lang w:eastAsia="en-US"/>
              </w:rPr>
              <w:t>/（mg/kg</w:t>
            </w:r>
            <w:r>
              <w:rPr>
                <w:rFonts w:hint="eastAsia" w:ascii="Calibri" w:hAnsi="Calibri" w:eastAsia="宋体" w:cs="黑体"/>
                <w:color w:val="000000"/>
                <w:sz w:val="15"/>
                <w:szCs w:val="15"/>
                <w:lang w:eastAsia="en-US"/>
              </w:rPr>
              <w:t xml:space="preserve">）      </w:t>
            </w:r>
            <w:r>
              <w:rPr>
                <w:rFonts w:ascii="Calibri" w:hAnsi="Calibri" w:eastAsia="宋体" w:cs="黑体"/>
                <w:color w:val="000000"/>
                <w:sz w:val="15"/>
                <w:szCs w:val="15"/>
                <w:lang w:eastAsia="en-US"/>
              </w:rPr>
              <w:t>≤</w:t>
            </w:r>
          </w:p>
        </w:tc>
        <w:tc>
          <w:tcPr>
            <w:tcW w:w="83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铅 Pb</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1614" w:type="dxa"/>
            <w:vMerge w:val="continue"/>
            <w:tcBorders>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838" w:type="dxa"/>
            <w:tcBorders>
              <w:top w:val="single" w:color="000000" w:sz="4" w:space="0"/>
              <w:left w:val="single" w:color="000000" w:sz="4" w:space="0"/>
              <w:bottom w:val="single" w:color="000000" w:sz="4" w:space="0"/>
              <w:right w:val="single" w:color="000000" w:sz="4" w:space="0"/>
            </w:tcBorders>
            <w:vAlign w:val="center"/>
          </w:tcPr>
          <w:p>
            <w:pPr>
              <w:spacing w:line="265"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镉 Cd</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614" w:type="dxa"/>
            <w:vMerge w:val="continue"/>
            <w:tcBorders>
              <w:left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838"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铬 Cr</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614"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838"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汞 Hg</w:t>
            </w:r>
          </w:p>
        </w:tc>
        <w:tc>
          <w:tcPr>
            <w:tcW w:w="3434" w:type="dxa"/>
            <w:gridSpan w:val="7"/>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46" w:hRule="exact"/>
          <w:jc w:val="center"/>
        </w:trPr>
        <w:tc>
          <w:tcPr>
            <w:tcW w:w="5886" w:type="dxa"/>
            <w:gridSpan w:val="9"/>
            <w:tcBorders>
              <w:top w:val="single" w:color="000000" w:sz="4" w:space="0"/>
              <w:left w:val="single" w:color="000000" w:sz="4" w:space="0"/>
              <w:bottom w:val="single" w:color="000000" w:sz="4" w:space="0"/>
              <w:right w:val="single" w:color="000000" w:sz="4" w:space="0"/>
            </w:tcBorders>
            <w:vAlign w:val="center"/>
          </w:tcPr>
          <w:p>
            <w:pPr>
              <w:ind w:left="570" w:leftChars="200" w:hanging="150" w:hangingChars="100"/>
              <w:rPr>
                <w:rFonts w:ascii="Calibri" w:hAnsi="Calibri" w:eastAsia="宋体" w:cs="黑体"/>
                <w:color w:val="000000"/>
                <w:kern w:val="0"/>
                <w:sz w:val="15"/>
                <w:szCs w:val="15"/>
                <w:lang w:eastAsia="zh-CN"/>
              </w:rPr>
            </w:pPr>
            <w:r>
              <w:rPr>
                <w:rFonts w:hint="eastAsia" w:ascii="Calibri" w:hAnsi="Calibri" w:eastAsia="宋体" w:cs="黑体"/>
                <w:color w:val="000000"/>
                <w:sz w:val="15"/>
                <w:szCs w:val="15"/>
                <w:vertAlign w:val="superscript"/>
                <w:lang w:eastAsia="zh-CN"/>
              </w:rPr>
              <w:t xml:space="preserve">a  </w:t>
            </w:r>
            <w:r>
              <w:rPr>
                <w:rFonts w:ascii="Calibri" w:hAnsi="Calibri" w:eastAsia="宋体" w:cs="黑体"/>
                <w:color w:val="000000"/>
                <w:kern w:val="0"/>
                <w:sz w:val="15"/>
                <w:szCs w:val="15"/>
                <w:lang w:eastAsia="zh-CN"/>
              </w:rPr>
              <w:t>按产品明示的</w:t>
            </w:r>
            <w:r>
              <w:rPr>
                <w:rFonts w:hint="eastAsia" w:ascii="Calibri" w:hAnsi="Calibri" w:eastAsia="宋体" w:cs="黑体"/>
                <w:color w:val="000000"/>
                <w:kern w:val="0"/>
                <w:sz w:val="15"/>
                <w:szCs w:val="15"/>
                <w:lang w:eastAsia="zh-CN"/>
              </w:rPr>
              <w:t>施工</w:t>
            </w:r>
            <w:r>
              <w:rPr>
                <w:rFonts w:ascii="Calibri" w:hAnsi="Calibri" w:eastAsia="宋体" w:cs="黑体"/>
                <w:color w:val="000000"/>
                <w:kern w:val="0"/>
                <w:sz w:val="15"/>
                <w:szCs w:val="15"/>
                <w:lang w:eastAsia="zh-CN"/>
              </w:rPr>
              <w:t>配比混合后测定。如稀释剂的使用量为某一范国时，应按产品工配比规定的最大</w:t>
            </w:r>
            <w:r>
              <w:rPr>
                <w:rFonts w:hint="eastAsia" w:ascii="Calibri" w:hAnsi="Calibri" w:eastAsia="宋体" w:cs="黑体"/>
                <w:color w:val="000000"/>
                <w:kern w:val="0"/>
                <w:sz w:val="15"/>
                <w:szCs w:val="15"/>
                <w:lang w:eastAsia="zh-CN"/>
              </w:rPr>
              <w:t>稀释</w:t>
            </w:r>
            <w:r>
              <w:rPr>
                <w:rFonts w:ascii="Calibri" w:hAnsi="Calibri" w:eastAsia="宋体" w:cs="黑体"/>
                <w:color w:val="000000"/>
                <w:kern w:val="0"/>
                <w:sz w:val="15"/>
                <w:szCs w:val="15"/>
                <w:lang w:eastAsia="zh-CN"/>
              </w:rPr>
              <w:t>比例混合后进行测定</w:t>
            </w:r>
            <w:r>
              <w:rPr>
                <w:rFonts w:hint="eastAsia" w:ascii="Calibri" w:hAnsi="Calibri" w:eastAsia="宋体" w:cs="黑体"/>
                <w:color w:val="000000"/>
                <w:kern w:val="0"/>
                <w:sz w:val="15"/>
                <w:szCs w:val="15"/>
                <w:lang w:eastAsia="zh-CN"/>
              </w:rPr>
              <w:t xml:space="preserve">。 </w:t>
            </w:r>
          </w:p>
          <w:p>
            <w:pPr>
              <w:ind w:left="570" w:leftChars="200" w:hanging="150" w:hangingChars="100"/>
              <w:rPr>
                <w:rFonts w:ascii="Calibri" w:hAnsi="Calibri" w:eastAsia="宋体" w:cs="黑体"/>
                <w:color w:val="000000"/>
                <w:kern w:val="0"/>
                <w:sz w:val="15"/>
                <w:szCs w:val="15"/>
                <w:lang w:eastAsia="zh-CN"/>
              </w:rPr>
            </w:pPr>
            <w:r>
              <w:rPr>
                <w:rFonts w:hint="eastAsia" w:ascii="Calibri" w:hAnsi="Calibri" w:eastAsia="宋体" w:cs="黑体"/>
                <w:color w:val="000000"/>
                <w:sz w:val="15"/>
                <w:szCs w:val="15"/>
                <w:vertAlign w:val="superscript"/>
                <w:lang w:eastAsia="zh-CN"/>
              </w:rPr>
              <w:t xml:space="preserve">b  </w:t>
            </w:r>
            <w:r>
              <w:rPr>
                <w:rFonts w:ascii="Calibri" w:hAnsi="Calibri" w:eastAsia="宋体" w:cs="黑体"/>
                <w:color w:val="000000"/>
                <w:kern w:val="0"/>
                <w:sz w:val="15"/>
                <w:szCs w:val="15"/>
                <w:lang w:eastAsia="zh-CN"/>
              </w:rPr>
              <w:t>如</w:t>
            </w:r>
            <w:r>
              <w:rPr>
                <w:rFonts w:hint="eastAsia" w:ascii="Calibri" w:hAnsi="Calibri" w:eastAsia="宋体" w:cs="黑体"/>
                <w:color w:val="000000"/>
                <w:kern w:val="0"/>
                <w:sz w:val="15"/>
                <w:szCs w:val="15"/>
                <w:lang w:eastAsia="zh-CN"/>
              </w:rPr>
              <w:t>聚氨酯类</w:t>
            </w:r>
            <w:r>
              <w:rPr>
                <w:rFonts w:ascii="Calibri" w:hAnsi="Calibri" w:eastAsia="宋体" w:cs="黑体"/>
                <w:color w:val="000000"/>
                <w:kern w:val="0"/>
                <w:sz w:val="15"/>
                <w:szCs w:val="15"/>
                <w:lang w:eastAsia="zh-CN"/>
              </w:rPr>
              <w:t>涂料和</w:t>
            </w:r>
            <w:r>
              <w:rPr>
                <w:rFonts w:hint="eastAsia" w:ascii="Calibri" w:hAnsi="Calibri" w:eastAsia="宋体" w:cs="黑体"/>
                <w:color w:val="000000"/>
                <w:kern w:val="0"/>
                <w:sz w:val="15"/>
                <w:szCs w:val="15"/>
                <w:lang w:eastAsia="zh-CN"/>
              </w:rPr>
              <w:t>腻</w:t>
            </w:r>
            <w:r>
              <w:rPr>
                <w:rFonts w:ascii="Calibri" w:hAnsi="Calibri" w:eastAsia="宋体" w:cs="黑体"/>
                <w:color w:val="000000"/>
                <w:kern w:val="0"/>
                <w:sz w:val="15"/>
                <w:szCs w:val="15"/>
                <w:lang w:eastAsia="zh-CN"/>
              </w:rPr>
              <w:t>子规定了</w:t>
            </w:r>
            <w:r>
              <w:rPr>
                <w:rFonts w:hint="eastAsia" w:ascii="Calibri" w:hAnsi="Calibri" w:eastAsia="宋体" w:cs="黑体"/>
                <w:color w:val="000000"/>
                <w:kern w:val="0"/>
                <w:sz w:val="15"/>
                <w:szCs w:val="15"/>
                <w:lang w:eastAsia="zh-CN"/>
              </w:rPr>
              <w:t>稀释</w:t>
            </w:r>
            <w:r>
              <w:rPr>
                <w:rFonts w:ascii="Calibri" w:hAnsi="Calibri" w:eastAsia="宋体" w:cs="黑体"/>
                <w:color w:val="000000"/>
                <w:kern w:val="0"/>
                <w:sz w:val="15"/>
                <w:szCs w:val="15"/>
                <w:lang w:eastAsia="zh-CN"/>
              </w:rPr>
              <w:t>比例或由双组分或多组分组成时，应先测定固化剂</w:t>
            </w:r>
            <w:r>
              <w:rPr>
                <w:rFonts w:hint="eastAsia" w:ascii="Calibri" w:hAnsi="Calibri" w:eastAsia="宋体" w:cs="黑体"/>
                <w:color w:val="000000"/>
                <w:kern w:val="0"/>
                <w:sz w:val="15"/>
                <w:szCs w:val="15"/>
                <w:lang w:eastAsia="zh-CN"/>
              </w:rPr>
              <w:t>（</w:t>
            </w:r>
            <w:r>
              <w:rPr>
                <w:rFonts w:ascii="Calibri" w:hAnsi="Calibri" w:eastAsia="宋体" w:cs="黑体"/>
                <w:color w:val="000000"/>
                <w:kern w:val="0"/>
                <w:sz w:val="15"/>
                <w:szCs w:val="15"/>
                <w:lang w:eastAsia="zh-CN"/>
              </w:rPr>
              <w:t>含游离二异</w:t>
            </w:r>
            <w:r>
              <w:rPr>
                <w:rFonts w:hint="eastAsia" w:ascii="Calibri" w:hAnsi="Calibri" w:eastAsia="宋体" w:cs="黑体"/>
                <w:color w:val="000000"/>
                <w:kern w:val="0"/>
                <w:sz w:val="15"/>
                <w:szCs w:val="15"/>
                <w:lang w:eastAsia="zh-CN"/>
              </w:rPr>
              <w:t>氰酸酯预聚物）</w:t>
            </w:r>
            <w:r>
              <w:rPr>
                <w:rFonts w:ascii="Calibri" w:hAnsi="Calibri" w:eastAsia="宋体" w:cs="黑体"/>
                <w:color w:val="000000"/>
                <w:kern w:val="0"/>
                <w:sz w:val="15"/>
                <w:szCs w:val="15"/>
                <w:lang w:eastAsia="zh-CN"/>
              </w:rPr>
              <w:t>中的含量，再按产品明示的施工配比计算混合后涂料中的含量</w:t>
            </w:r>
            <w:r>
              <w:rPr>
                <w:rFonts w:hint="eastAsia" w:ascii="Calibri" w:hAnsi="Calibri" w:eastAsia="宋体" w:cs="黑体"/>
                <w:color w:val="000000"/>
                <w:kern w:val="0"/>
                <w:sz w:val="15"/>
                <w:szCs w:val="15"/>
                <w:lang w:eastAsia="zh-CN"/>
              </w:rPr>
              <w:t>。如稀释剂</w:t>
            </w:r>
            <w:r>
              <w:rPr>
                <w:rFonts w:ascii="Calibri" w:hAnsi="Calibri" w:eastAsia="宋体" w:cs="黑体"/>
                <w:color w:val="000000"/>
                <w:kern w:val="0"/>
                <w:sz w:val="15"/>
                <w:szCs w:val="15"/>
                <w:lang w:eastAsia="zh-CN"/>
              </w:rPr>
              <w:t>的使用量为某一</w:t>
            </w:r>
            <w:r>
              <w:rPr>
                <w:rFonts w:hint="eastAsia" w:ascii="Calibri" w:hAnsi="Calibri" w:eastAsia="宋体" w:cs="黑体"/>
                <w:color w:val="000000"/>
                <w:kern w:val="0"/>
                <w:sz w:val="15"/>
                <w:szCs w:val="15"/>
                <w:lang w:eastAsia="zh-CN"/>
              </w:rPr>
              <w:t>范围</w:t>
            </w:r>
            <w:r>
              <w:rPr>
                <w:rFonts w:ascii="Calibri" w:hAnsi="Calibri" w:eastAsia="宋体" w:cs="黑体"/>
                <w:color w:val="000000"/>
                <w:kern w:val="0"/>
                <w:sz w:val="15"/>
                <w:szCs w:val="15"/>
                <w:lang w:eastAsia="zh-CN"/>
              </w:rPr>
              <w:t>时，应按照产品</w:t>
            </w:r>
            <w:r>
              <w:rPr>
                <w:rFonts w:hint="eastAsia" w:ascii="Calibri" w:hAnsi="Calibri" w:eastAsia="宋体" w:cs="黑体"/>
                <w:color w:val="000000"/>
                <w:kern w:val="0"/>
                <w:sz w:val="15"/>
                <w:szCs w:val="15"/>
                <w:lang w:eastAsia="zh-CN"/>
              </w:rPr>
              <w:t>施工配比</w:t>
            </w:r>
            <w:r>
              <w:rPr>
                <w:rFonts w:ascii="Calibri" w:hAnsi="Calibri" w:eastAsia="宋体" w:cs="黑体"/>
                <w:color w:val="000000"/>
                <w:kern w:val="0"/>
                <w:sz w:val="15"/>
                <w:szCs w:val="15"/>
                <w:lang w:eastAsia="zh-CN"/>
              </w:rPr>
              <w:t>规定的最小</w:t>
            </w:r>
            <w:r>
              <w:rPr>
                <w:rFonts w:hint="eastAsia" w:ascii="Calibri" w:hAnsi="Calibri" w:eastAsia="宋体" w:cs="黑体"/>
                <w:color w:val="000000"/>
                <w:kern w:val="0"/>
                <w:sz w:val="15"/>
                <w:szCs w:val="15"/>
                <w:lang w:eastAsia="zh-CN"/>
              </w:rPr>
              <w:t>稀释</w:t>
            </w:r>
            <w:r>
              <w:rPr>
                <w:rFonts w:ascii="Calibri" w:hAnsi="Calibri" w:eastAsia="宋体" w:cs="黑体"/>
                <w:color w:val="000000"/>
                <w:kern w:val="0"/>
                <w:sz w:val="15"/>
                <w:szCs w:val="15"/>
                <w:lang w:eastAsia="zh-CN"/>
              </w:rPr>
              <w:t>比例进行计算</w:t>
            </w:r>
            <w:r>
              <w:rPr>
                <w:rFonts w:hint="eastAsia" w:ascii="Calibri" w:hAnsi="Calibri" w:eastAsia="宋体" w:cs="黑体"/>
                <w:color w:val="000000"/>
                <w:kern w:val="0"/>
                <w:sz w:val="15"/>
                <w:szCs w:val="15"/>
                <w:lang w:eastAsia="zh-CN"/>
              </w:rPr>
              <w:t>。</w:t>
            </w:r>
          </w:p>
          <w:p>
            <w:pPr>
              <w:ind w:left="570" w:leftChars="200" w:hanging="150" w:hangingChars="100"/>
              <w:rPr>
                <w:rFonts w:ascii="Calibri" w:hAnsi="Calibri" w:eastAsia="宋体" w:cs="黑体"/>
                <w:color w:val="000000"/>
                <w:sz w:val="15"/>
                <w:szCs w:val="15"/>
                <w:lang w:eastAsia="en-US"/>
              </w:rPr>
            </w:pPr>
            <w:r>
              <w:rPr>
                <w:rFonts w:hint="eastAsia" w:ascii="Calibri" w:hAnsi="Calibri" w:eastAsia="宋体" w:cs="黑体"/>
                <w:color w:val="000000"/>
                <w:sz w:val="15"/>
                <w:szCs w:val="15"/>
                <w:vertAlign w:val="superscript"/>
                <w:lang w:eastAsia="en-US"/>
              </w:rPr>
              <w:t xml:space="preserve">c  </w:t>
            </w:r>
            <w:r>
              <w:rPr>
                <w:rFonts w:ascii="Calibri" w:hAnsi="Calibri" w:eastAsia="宋体" w:cs="黑体"/>
                <w:color w:val="000000"/>
                <w:kern w:val="0"/>
                <w:sz w:val="15"/>
                <w:szCs w:val="15"/>
                <w:lang w:eastAsia="en-US"/>
              </w:rPr>
              <w:t>包括二氯</w:t>
            </w:r>
            <w:r>
              <w:rPr>
                <w:rFonts w:hint="eastAsia" w:ascii="Calibri" w:hAnsi="Calibri" w:eastAsia="宋体" w:cs="黑体"/>
                <w:color w:val="000000"/>
                <w:kern w:val="0"/>
                <w:sz w:val="15"/>
                <w:szCs w:val="15"/>
                <w:lang w:eastAsia="en-US"/>
              </w:rPr>
              <w:t>甲烷</w:t>
            </w:r>
            <w:r>
              <w:rPr>
                <w:rFonts w:ascii="Calibri" w:hAnsi="Calibri" w:eastAsia="宋体" w:cs="黑体"/>
                <w:color w:val="000000"/>
                <w:kern w:val="0"/>
                <w:sz w:val="15"/>
                <w:szCs w:val="15"/>
                <w:lang w:eastAsia="en-US"/>
              </w:rPr>
              <w:t>，1</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1</w:t>
            </w:r>
            <w:r>
              <w:rPr>
                <w:rFonts w:hint="eastAsia" w:ascii="Calibri" w:hAnsi="Calibri" w:eastAsia="宋体" w:cs="黑体"/>
                <w:color w:val="000000"/>
                <w:kern w:val="0"/>
                <w:sz w:val="15"/>
                <w:szCs w:val="15"/>
                <w:lang w:eastAsia="en-US"/>
              </w:rPr>
              <w:t>-二氯乙烷、1，</w:t>
            </w:r>
            <w:r>
              <w:rPr>
                <w:rFonts w:ascii="Calibri" w:hAnsi="Calibri" w:eastAsia="宋体" w:cs="黑体"/>
                <w:color w:val="000000"/>
                <w:kern w:val="0"/>
                <w:sz w:val="15"/>
                <w:szCs w:val="15"/>
                <w:lang w:eastAsia="en-US"/>
              </w:rPr>
              <w:t>2</w:t>
            </w:r>
            <w:r>
              <w:rPr>
                <w:rFonts w:hint="eastAsia" w:ascii="Calibri" w:hAnsi="Calibri" w:eastAsia="宋体" w:cs="黑体"/>
                <w:color w:val="000000"/>
                <w:kern w:val="0"/>
                <w:sz w:val="15"/>
                <w:szCs w:val="15"/>
                <w:lang w:eastAsia="en-US"/>
              </w:rPr>
              <w:t>-二氯乙烷</w:t>
            </w: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三氯</w:t>
            </w:r>
            <w:r>
              <w:rPr>
                <w:rFonts w:ascii="Calibri" w:hAnsi="Calibri" w:eastAsia="宋体" w:cs="黑体"/>
                <w:color w:val="000000"/>
                <w:kern w:val="0"/>
                <w:sz w:val="15"/>
                <w:szCs w:val="15"/>
                <w:lang w:eastAsia="en-US"/>
              </w:rPr>
              <w:t>甲烷、1，1，1三氯乙烷</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1，1，2-三氯乙烷、四氯化</w:t>
            </w:r>
            <w:r>
              <w:rPr>
                <w:rFonts w:hint="eastAsia" w:ascii="Calibri" w:hAnsi="Calibri" w:eastAsia="宋体" w:cs="黑体"/>
                <w:color w:val="000000"/>
                <w:kern w:val="0"/>
                <w:sz w:val="15"/>
                <w:szCs w:val="15"/>
                <w:lang w:eastAsia="en-US"/>
              </w:rPr>
              <w:t>碳。</w:t>
            </w:r>
          </w:p>
        </w:tc>
      </w:tr>
    </w:tbl>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 xml:space="preserve">5.1.4-4  </w:t>
      </w:r>
      <w:r>
        <w:rPr>
          <w:rFonts w:eastAsia="黑体"/>
          <w:bCs/>
          <w:color w:val="000000"/>
          <w:sz w:val="18"/>
          <w:szCs w:val="18"/>
        </w:rPr>
        <w:t>有害物质限量的要求</w:t>
      </w:r>
    </w:p>
    <w:p>
      <w:pPr>
        <w:ind w:firstLine="360" w:firstLineChars="200"/>
        <w:jc w:val="center"/>
        <w:rPr>
          <w:rFonts w:eastAsia="黑体"/>
          <w:bCs/>
          <w:color w:val="000000"/>
          <w:sz w:val="18"/>
          <w:szCs w:val="18"/>
        </w:rPr>
      </w:pPr>
      <w:r>
        <w:rPr>
          <w:rFonts w:hint="eastAsia" w:eastAsia="黑体"/>
          <w:bCs/>
          <w:color w:val="000000"/>
          <w:sz w:val="18"/>
          <w:szCs w:val="18"/>
        </w:rPr>
        <w:t>（</w:t>
      </w:r>
      <w:r>
        <w:rPr>
          <w:rFonts w:hint="eastAsia"/>
          <w:bCs/>
          <w:color w:val="000000"/>
          <w:sz w:val="18"/>
          <w:szCs w:val="18"/>
        </w:rPr>
        <w:t>室内装饰装修材料 内墙涂料中有害物质限量</w:t>
      </w:r>
      <w:r>
        <w:rPr>
          <w:rFonts w:hint="eastAsia" w:eastAsia="黑体"/>
          <w:bCs/>
          <w:color w:val="000000"/>
          <w:sz w:val="18"/>
          <w:szCs w:val="18"/>
        </w:rPr>
        <w:t>）</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90"/>
        <w:gridCol w:w="1612"/>
        <w:gridCol w:w="1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2290"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w:t>
            </w:r>
          </w:p>
        </w:tc>
        <w:tc>
          <w:tcPr>
            <w:tcW w:w="3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限量值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612"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水性墙面涂料</w:t>
            </w:r>
            <w:r>
              <w:rPr>
                <w:rFonts w:ascii="Calibri" w:hAnsi="Calibri" w:eastAsia="宋体" w:cs="黑体"/>
                <w:color w:val="000000"/>
                <w:kern w:val="0"/>
                <w:sz w:val="15"/>
                <w:szCs w:val="15"/>
                <w:vertAlign w:val="superscript"/>
                <w:lang w:eastAsia="en-US"/>
              </w:rPr>
              <w:t>a</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水性墙面腻子</w:t>
            </w:r>
            <w:r>
              <w:rPr>
                <w:rFonts w:ascii="Calibri" w:hAnsi="Calibri" w:eastAsia="宋体" w:cs="黑体"/>
                <w:color w:val="000000"/>
                <w:kern w:val="0"/>
                <w:sz w:val="15"/>
                <w:szCs w:val="15"/>
                <w:vertAlign w:val="superscript"/>
                <w:lang w:eastAsia="en-US"/>
              </w:rPr>
              <w: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zh-CN"/>
              </w:rPr>
            </w:pPr>
            <w:r>
              <w:rPr>
                <w:rFonts w:ascii="Calibri" w:hAnsi="Calibri" w:eastAsia="宋体" w:cs="黑体"/>
                <w:color w:val="000000"/>
                <w:kern w:val="0"/>
                <w:sz w:val="15"/>
                <w:szCs w:val="15"/>
                <w:lang w:eastAsia="zh-CN"/>
              </w:rPr>
              <w:t>挥发性有机化合物含量（VOC）</w:t>
            </w:r>
            <w:r>
              <w:rPr>
                <w:rFonts w:hint="eastAsia" w:ascii="Calibri" w:hAnsi="Calibri" w:eastAsia="宋体" w:cs="黑体"/>
                <w:color w:val="000000"/>
                <w:kern w:val="0"/>
                <w:sz w:val="15"/>
                <w:szCs w:val="15"/>
                <w:lang w:eastAsia="zh-CN"/>
              </w:rPr>
              <w:t xml:space="preserve">            </w:t>
            </w:r>
            <w:r>
              <w:rPr>
                <w:rFonts w:ascii="Calibri" w:hAnsi="Calibri" w:eastAsia="宋体" w:cs="黑体"/>
                <w:color w:val="000000"/>
                <w:kern w:val="0"/>
                <w:sz w:val="15"/>
                <w:szCs w:val="15"/>
                <w:lang w:eastAsia="zh-CN"/>
              </w:rPr>
              <w:t>≤</w:t>
            </w:r>
          </w:p>
        </w:tc>
        <w:tc>
          <w:tcPr>
            <w:tcW w:w="16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120g/L</w:t>
            </w:r>
          </w:p>
        </w:tc>
        <w:tc>
          <w:tcPr>
            <w:tcW w:w="198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15g/kg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4" w:hRule="exact"/>
          <w:jc w:val="center"/>
        </w:trPr>
        <w:tc>
          <w:tcPr>
            <w:tcW w:w="2290" w:type="dxa"/>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zh-CN"/>
              </w:rPr>
            </w:pPr>
            <w:r>
              <w:rPr>
                <w:rFonts w:ascii="Calibri" w:hAnsi="Calibri" w:eastAsia="宋体" w:cs="黑体"/>
                <w:color w:val="000000"/>
                <w:kern w:val="0"/>
                <w:sz w:val="15"/>
                <w:szCs w:val="15"/>
                <w:lang w:eastAsia="zh-CN"/>
              </w:rPr>
              <w:t>苯、甲苯、乙苯、二甲苯总和</w:t>
            </w:r>
          </w:p>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/（mg/kg）</w:t>
            </w:r>
            <w:r>
              <w:rPr>
                <w:rFonts w:hint="eastAsia" w:ascii="Calibri" w:hAnsi="Calibri" w:eastAsia="宋体" w:cs="黑体"/>
                <w:color w:val="000000"/>
                <w:kern w:val="0"/>
                <w:sz w:val="15"/>
                <w:szCs w:val="15"/>
                <w:lang w:eastAsia="en-US"/>
              </w:rPr>
              <w:t xml:space="preserve">              </w:t>
            </w:r>
            <w:r>
              <w:rPr>
                <w:rFonts w:ascii="Calibri" w:hAnsi="Calibri" w:eastAsia="宋体" w:cs="黑体"/>
                <w:color w:val="000000"/>
                <w:kern w:val="0"/>
                <w:sz w:val="15"/>
                <w:szCs w:val="15"/>
                <w:lang w:eastAsia="en-US"/>
              </w:rPr>
              <w:t>≤</w:t>
            </w:r>
          </w:p>
        </w:tc>
        <w:tc>
          <w:tcPr>
            <w:tcW w:w="3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游离甲醛/（mg/kg）</w:t>
            </w:r>
            <w:r>
              <w:rPr>
                <w:rFonts w:hint="eastAsia" w:ascii="Calibri" w:hAnsi="Calibri" w:eastAsia="宋体" w:cs="黑体"/>
                <w:color w:val="000000"/>
                <w:kern w:val="0"/>
                <w:sz w:val="15"/>
                <w:szCs w:val="15"/>
                <w:lang w:eastAsia="en-US"/>
              </w:rPr>
              <w:t xml:space="preserve">                      </w:t>
            </w:r>
            <w:r>
              <w:rPr>
                <w:rFonts w:ascii="Calibri" w:hAnsi="Calibri" w:eastAsia="宋体" w:cs="黑体"/>
                <w:color w:val="000000"/>
                <w:kern w:val="0"/>
                <w:sz w:val="15"/>
                <w:szCs w:val="15"/>
                <w:lang w:eastAsia="en-US"/>
              </w:rPr>
              <w:t>≤</w:t>
            </w:r>
          </w:p>
        </w:tc>
        <w:tc>
          <w:tcPr>
            <w:tcW w:w="359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vMerge w:val="restart"/>
            <w:tcBorders>
              <w:top w:val="single" w:color="000000" w:sz="4" w:space="0"/>
              <w:left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可溶性重金属/（mg/kg）</w:t>
            </w:r>
            <w:r>
              <w:rPr>
                <w:rFonts w:hint="eastAsia" w:ascii="Calibri" w:hAnsi="Calibri" w:eastAsia="宋体" w:cs="黑体"/>
                <w:color w:val="000000"/>
                <w:kern w:val="0"/>
                <w:sz w:val="15"/>
                <w:szCs w:val="15"/>
                <w:lang w:eastAsia="en-US"/>
              </w:rPr>
              <w:t xml:space="preserve">  </w:t>
            </w:r>
            <w:r>
              <w:rPr>
                <w:rFonts w:ascii="Calibri" w:hAnsi="Calibri" w:eastAsia="宋体" w:cs="黑体"/>
                <w:color w:val="000000"/>
                <w:kern w:val="0"/>
                <w:sz w:val="15"/>
                <w:szCs w:val="15"/>
                <w:lang w:eastAsia="en-US"/>
              </w:rPr>
              <w:t>≤</w:t>
            </w:r>
          </w:p>
        </w:tc>
        <w:tc>
          <w:tcPr>
            <w:tcW w:w="16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铅 Pb</w:t>
            </w:r>
          </w:p>
        </w:tc>
        <w:tc>
          <w:tcPr>
            <w:tcW w:w="198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2290"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6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镉 Cd</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6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铬 Cr</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0"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6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汞 Hg</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67" w:hRule="exact"/>
          <w:jc w:val="center"/>
        </w:trPr>
        <w:tc>
          <w:tcPr>
            <w:tcW w:w="5886" w:type="dxa"/>
            <w:gridSpan w:val="3"/>
            <w:tcBorders>
              <w:top w:val="single" w:color="000000" w:sz="4" w:space="0"/>
              <w:left w:val="single" w:color="000000" w:sz="4" w:space="0"/>
              <w:bottom w:val="single" w:color="000000" w:sz="4" w:space="0"/>
              <w:right w:val="single" w:color="000000" w:sz="4" w:space="0"/>
            </w:tcBorders>
            <w:vAlign w:val="center"/>
          </w:tcPr>
          <w:p>
            <w:pPr>
              <w:ind w:firstLine="300" w:firstLineChars="200"/>
              <w:rPr>
                <w:rFonts w:ascii="Calibri" w:hAnsi="Calibri" w:eastAsia="宋体" w:cs="黑体"/>
                <w:color w:val="000000"/>
                <w:kern w:val="0"/>
                <w:sz w:val="15"/>
                <w:szCs w:val="15"/>
                <w:lang w:eastAsia="zh-CN"/>
              </w:rPr>
            </w:pPr>
            <w:r>
              <w:rPr>
                <w:rFonts w:ascii="Calibri" w:hAnsi="Calibri" w:eastAsia="宋体" w:cs="黑体"/>
                <w:color w:val="000000"/>
                <w:kern w:val="0"/>
                <w:sz w:val="15"/>
                <w:szCs w:val="15"/>
                <w:vertAlign w:val="superscript"/>
                <w:lang w:eastAsia="zh-CN"/>
              </w:rPr>
              <w:t>a</w:t>
            </w:r>
            <w:r>
              <w:rPr>
                <w:rFonts w:ascii="Calibri" w:hAnsi="Calibri" w:eastAsia="宋体" w:cs="黑体"/>
                <w:color w:val="000000"/>
                <w:kern w:val="0"/>
                <w:sz w:val="15"/>
                <w:szCs w:val="15"/>
                <w:lang w:eastAsia="zh-CN"/>
              </w:rPr>
              <w:t xml:space="preserve"> </w:t>
            </w:r>
            <w:r>
              <w:rPr>
                <w:rFonts w:hint="eastAsia" w:ascii="Calibri" w:hAnsi="Calibri" w:eastAsia="宋体" w:cs="黑体"/>
                <w:color w:val="000000"/>
                <w:kern w:val="0"/>
                <w:sz w:val="15"/>
                <w:szCs w:val="15"/>
                <w:lang w:eastAsia="zh-CN"/>
              </w:rPr>
              <w:t xml:space="preserve"> </w:t>
            </w:r>
            <w:r>
              <w:rPr>
                <w:rFonts w:ascii="Calibri" w:hAnsi="Calibri" w:eastAsia="宋体" w:cs="黑体"/>
                <w:color w:val="000000"/>
                <w:kern w:val="0"/>
                <w:sz w:val="15"/>
                <w:szCs w:val="15"/>
                <w:lang w:eastAsia="zh-CN"/>
              </w:rPr>
              <w:t>涂料产品所有项目均不考虑稀释配比。</w:t>
            </w:r>
          </w:p>
          <w:p>
            <w:pPr>
              <w:ind w:left="450" w:hanging="450" w:hangingChars="300"/>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 xml:space="preserve">    </w:t>
            </w:r>
            <w:r>
              <w:rPr>
                <w:rFonts w:ascii="Calibri" w:hAnsi="Calibri" w:eastAsia="宋体" w:cs="黑体"/>
                <w:color w:val="000000"/>
                <w:kern w:val="0"/>
                <w:sz w:val="15"/>
                <w:szCs w:val="15"/>
                <w:vertAlign w:val="superscript"/>
                <w:lang w:eastAsia="zh-CN"/>
              </w:rPr>
              <w:t>b</w:t>
            </w:r>
            <w:r>
              <w:rPr>
                <w:rFonts w:ascii="Calibri" w:hAnsi="Calibri" w:eastAsia="宋体" w:cs="黑体"/>
                <w:color w:val="000000"/>
                <w:kern w:val="0"/>
                <w:sz w:val="15"/>
                <w:szCs w:val="15"/>
                <w:lang w:eastAsia="zh-CN"/>
              </w:rPr>
              <w:t xml:space="preserve"> </w:t>
            </w:r>
            <w:r>
              <w:rPr>
                <w:rFonts w:hint="eastAsia" w:ascii="Calibri" w:hAnsi="Calibri" w:eastAsia="宋体" w:cs="黑体"/>
                <w:color w:val="000000"/>
                <w:kern w:val="0"/>
                <w:sz w:val="15"/>
                <w:szCs w:val="15"/>
                <w:lang w:eastAsia="zh-CN"/>
              </w:rPr>
              <w:t xml:space="preserve"> </w:t>
            </w:r>
            <w:r>
              <w:rPr>
                <w:rFonts w:ascii="Calibri" w:hAnsi="Calibri" w:eastAsia="宋体" w:cs="黑体"/>
                <w:color w:val="000000"/>
                <w:kern w:val="0"/>
                <w:sz w:val="15"/>
                <w:szCs w:val="15"/>
                <w:lang w:eastAsia="zh-CN"/>
              </w:rPr>
              <w:t>膏状腻子所有项目均不考虑稀释配比；粉状腻子除可溶性重金属项目直接测试粉状体外，其余3项按产品规定的配比将粉体与水或胶黏剂等其他液体混合后测试。如配比为某一范 围是，应按照水用量最小，胶黏剂等其他液体使用量最大的配比混合测试</w:t>
            </w:r>
          </w:p>
        </w:tc>
      </w:tr>
    </w:tbl>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5.1.4-5（1）  室内装饰装修材料胶粘剂中有害物质限量</w:t>
      </w:r>
    </w:p>
    <w:p>
      <w:pPr>
        <w:ind w:firstLine="360" w:firstLineChars="200"/>
        <w:jc w:val="center"/>
        <w:rPr>
          <w:rFonts w:eastAsia="黑体"/>
          <w:bCs/>
          <w:color w:val="000000"/>
          <w:sz w:val="18"/>
          <w:szCs w:val="18"/>
        </w:rPr>
      </w:pPr>
      <w:r>
        <w:rPr>
          <w:rFonts w:hint="eastAsia" w:eastAsia="黑体"/>
          <w:bCs/>
          <w:color w:val="000000"/>
          <w:sz w:val="18"/>
          <w:szCs w:val="18"/>
        </w:rPr>
        <w:t>（</w:t>
      </w:r>
      <w:r>
        <w:rPr>
          <w:rFonts w:hint="eastAsia"/>
          <w:bCs/>
          <w:color w:val="000000"/>
          <w:sz w:val="18"/>
          <w:szCs w:val="18"/>
        </w:rPr>
        <w:t>溶液型胶粘剂中有害物质限量</w:t>
      </w:r>
      <w:r>
        <w:rPr>
          <w:rFonts w:hint="eastAsia" w:eastAsia="黑体"/>
          <w:bCs/>
          <w:color w:val="000000"/>
          <w:sz w:val="18"/>
          <w:szCs w:val="18"/>
        </w:rPr>
        <w:t>）</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45"/>
        <w:gridCol w:w="868"/>
        <w:gridCol w:w="802"/>
        <w:gridCol w:w="902"/>
        <w:gridCol w:w="8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 w:hRule="exact"/>
          <w:jc w:val="center"/>
        </w:trPr>
        <w:tc>
          <w:tcPr>
            <w:tcW w:w="244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项目</w:t>
            </w:r>
          </w:p>
        </w:tc>
        <w:tc>
          <w:tcPr>
            <w:tcW w:w="3441"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4" w:hRule="atLeast"/>
          <w:jc w:val="center"/>
        </w:trPr>
        <w:tc>
          <w:tcPr>
            <w:tcW w:w="244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868"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氯丁橡胶胶粘剂</w:t>
            </w:r>
          </w:p>
        </w:tc>
        <w:tc>
          <w:tcPr>
            <w:tcW w:w="802"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SBS胶粘剂</w:t>
            </w:r>
          </w:p>
        </w:tc>
        <w:tc>
          <w:tcPr>
            <w:tcW w:w="902"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聚氨酯类胶粘剂</w:t>
            </w:r>
          </w:p>
        </w:tc>
        <w:tc>
          <w:tcPr>
            <w:tcW w:w="869"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其他胶粘剂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kern w:val="0"/>
                <w:sz w:val="15"/>
                <w:szCs w:val="15"/>
                <w:lang w:eastAsia="en-US"/>
              </w:rPr>
              <w:t>游离甲醛/（g/kg）</w:t>
            </w:r>
          </w:p>
        </w:tc>
        <w:tc>
          <w:tcPr>
            <w:tcW w:w="167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0.50</w:t>
            </w:r>
          </w:p>
        </w:tc>
        <w:tc>
          <w:tcPr>
            <w:tcW w:w="902" w:type="dxa"/>
            <w:tcBorders>
              <w:top w:val="single" w:color="000000" w:sz="4" w:space="0"/>
              <w:left w:val="single" w:color="000000" w:sz="4" w:space="0"/>
              <w:bottom w:val="single" w:color="000000" w:sz="4" w:space="0"/>
              <w:right w:val="single" w:color="000000" w:sz="4" w:space="0"/>
            </w:tcBorders>
            <w:vAlign w:val="center"/>
          </w:tcPr>
          <w:p>
            <w:pPr>
              <w:rPr>
                <w:rFonts w:ascii="Calibri" w:hAnsi="Calibri" w:eastAsia="宋体" w:cs="黑体"/>
                <w:color w:val="000000"/>
                <w:sz w:val="15"/>
                <w:szCs w:val="15"/>
                <w:lang w:eastAsia="en-US"/>
              </w:rPr>
            </w:pPr>
          </w:p>
        </w:tc>
        <w:tc>
          <w:tcPr>
            <w:tcW w:w="869" w:type="dxa"/>
            <w:tcBorders>
              <w:top w:val="single" w:color="000000" w:sz="4" w:space="0"/>
              <w:left w:val="single" w:color="000000" w:sz="4" w:space="0"/>
              <w:bottom w:val="single" w:color="000000" w:sz="4" w:space="0"/>
              <w:right w:val="single" w:color="000000" w:sz="4" w:space="0"/>
            </w:tcBorders>
            <w:vAlign w:val="center"/>
          </w:tcPr>
          <w:p>
            <w:pPr>
              <w:rPr>
                <w:rFonts w:ascii="Calibri" w:hAnsi="Calibri" w:eastAsia="宋体" w:cs="黑体"/>
                <w:color w:val="000000"/>
                <w:kern w:val="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0"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苯/（g/kg）</w:t>
            </w:r>
          </w:p>
        </w:tc>
        <w:tc>
          <w:tcPr>
            <w:tcW w:w="3441"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2"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甲苯</w:t>
            </w:r>
            <w:r>
              <w:rPr>
                <w:rFonts w:hint="eastAsia" w:ascii="Calibri" w:hAnsi="Calibri" w:eastAsia="宋体" w:cs="黑体"/>
                <w:color w:val="000000"/>
                <w:sz w:val="15"/>
                <w:szCs w:val="15"/>
                <w:lang w:eastAsia="en-US"/>
              </w:rPr>
              <w:t>+二甲苯/（g/kg）</w:t>
            </w:r>
          </w:p>
        </w:tc>
        <w:tc>
          <w:tcPr>
            <w:tcW w:w="86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200</w:t>
            </w:r>
          </w:p>
        </w:tc>
        <w:tc>
          <w:tcPr>
            <w:tcW w:w="80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40"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甲苯二异氰酸酯</w:t>
            </w:r>
            <w:r>
              <w:rPr>
                <w:rFonts w:hint="eastAsia" w:ascii="Calibri" w:hAnsi="Calibri" w:eastAsia="宋体" w:cs="黑体"/>
                <w:color w:val="000000"/>
                <w:sz w:val="15"/>
                <w:szCs w:val="15"/>
                <w:lang w:eastAsia="en-US"/>
              </w:rPr>
              <w:t>/（g/kg）</w:t>
            </w:r>
          </w:p>
        </w:tc>
        <w:tc>
          <w:tcPr>
            <w:tcW w:w="86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80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0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tc>
        <w:tc>
          <w:tcPr>
            <w:tcW w:w="86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4"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二氯甲烷</w:t>
            </w:r>
            <w:r>
              <w:rPr>
                <w:rFonts w:hint="eastAsia" w:ascii="Calibri" w:hAnsi="Calibri" w:eastAsia="宋体" w:cs="黑体"/>
                <w:color w:val="000000"/>
                <w:sz w:val="15"/>
                <w:szCs w:val="15"/>
                <w:lang w:eastAsia="en-US"/>
              </w:rPr>
              <w:t>/（g/kg）</w:t>
            </w:r>
          </w:p>
        </w:tc>
        <w:tc>
          <w:tcPr>
            <w:tcW w:w="868"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sz w:val="15"/>
                <w:szCs w:val="15"/>
                <w:lang w:eastAsia="en-US"/>
              </w:rPr>
              <w:t>总量</w:t>
            </w: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5.0</w:t>
            </w:r>
          </w:p>
        </w:tc>
        <w:tc>
          <w:tcPr>
            <w:tcW w:w="802" w:type="dxa"/>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50</w:t>
            </w:r>
          </w:p>
        </w:tc>
        <w:tc>
          <w:tcPr>
            <w:tcW w:w="902"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869"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5"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1，2-二氯乙烷</w:t>
            </w:r>
            <w:r>
              <w:rPr>
                <w:rFonts w:hint="eastAsia" w:ascii="Calibri" w:hAnsi="Calibri" w:eastAsia="宋体" w:cs="黑体"/>
                <w:color w:val="000000"/>
                <w:sz w:val="15"/>
                <w:szCs w:val="15"/>
                <w:lang w:eastAsia="en-US"/>
              </w:rPr>
              <w:t>/（g/kg）</w:t>
            </w:r>
          </w:p>
        </w:tc>
        <w:tc>
          <w:tcPr>
            <w:tcW w:w="868"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kern w:val="0"/>
                <w:sz w:val="15"/>
                <w:szCs w:val="15"/>
                <w:lang w:eastAsia="en-US"/>
              </w:rPr>
            </w:pPr>
          </w:p>
        </w:tc>
        <w:tc>
          <w:tcPr>
            <w:tcW w:w="802" w:type="dxa"/>
            <w:vMerge w:val="restart"/>
            <w:tcBorders>
              <w:top w:val="single" w:color="000000" w:sz="4" w:space="0"/>
              <w:left w:val="single" w:color="000000" w:sz="4" w:space="0"/>
              <w:right w:val="single" w:color="000000" w:sz="4" w:space="0"/>
            </w:tcBorders>
            <w:vAlign w:val="center"/>
          </w:tcPr>
          <w:p>
            <w:pPr>
              <w:spacing w:line="265" w:lineRule="exact"/>
              <w:ind w:right="1"/>
              <w:jc w:val="center"/>
              <w:rPr>
                <w:rFonts w:ascii="Calibri" w:hAnsi="Calibri" w:eastAsia="宋体" w:cs="黑体"/>
                <w:color w:val="000000"/>
                <w:kern w:val="0"/>
                <w:sz w:val="15"/>
                <w:szCs w:val="15"/>
                <w:lang w:eastAsia="en-US"/>
              </w:rPr>
            </w:pPr>
            <w:r>
              <w:rPr>
                <w:rFonts w:hint="eastAsia" w:ascii="Calibri" w:hAnsi="Calibri" w:eastAsia="宋体" w:cs="黑体"/>
                <w:color w:val="000000"/>
                <w:sz w:val="15"/>
                <w:szCs w:val="15"/>
                <w:lang w:eastAsia="en-US"/>
              </w:rPr>
              <w:t>总量</w:t>
            </w: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5.0</w:t>
            </w:r>
          </w:p>
        </w:tc>
        <w:tc>
          <w:tcPr>
            <w:tcW w:w="902"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kern w:val="0"/>
                <w:sz w:val="15"/>
                <w:szCs w:val="15"/>
                <w:lang w:eastAsia="en-US"/>
              </w:rPr>
            </w:pPr>
          </w:p>
        </w:tc>
        <w:tc>
          <w:tcPr>
            <w:tcW w:w="869"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kern w:val="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1，2，2-三氯乙烷/（g/kg）</w:t>
            </w:r>
          </w:p>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铅 Pb</w:t>
            </w:r>
          </w:p>
        </w:tc>
        <w:tc>
          <w:tcPr>
            <w:tcW w:w="868"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802"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902"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869"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spacing w:line="265"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三氯乙烯/（g/kg）</w:t>
            </w:r>
          </w:p>
        </w:tc>
        <w:tc>
          <w:tcPr>
            <w:tcW w:w="868" w:type="dxa"/>
            <w:vMerge w:val="continue"/>
            <w:tcBorders>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802" w:type="dxa"/>
            <w:vMerge w:val="continue"/>
            <w:tcBorders>
              <w:left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902" w:type="dxa"/>
            <w:vMerge w:val="continue"/>
            <w:tcBorders>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c>
          <w:tcPr>
            <w:tcW w:w="869" w:type="dxa"/>
            <w:vMerge w:val="continue"/>
            <w:tcBorders>
              <w:left w:val="single" w:color="000000" w:sz="4" w:space="0"/>
              <w:bottom w:val="single" w:color="000000" w:sz="4" w:space="0"/>
              <w:right w:val="single" w:color="000000" w:sz="4" w:space="0"/>
            </w:tcBorders>
            <w:vAlign w:val="center"/>
          </w:tcPr>
          <w:p>
            <w:pPr>
              <w:spacing w:line="265" w:lineRule="exact"/>
              <w:ind w:right="1"/>
              <w:jc w:val="center"/>
              <w:rPr>
                <w:rFonts w:ascii="Calibri" w:hAnsi="Calibri" w:eastAsia="宋体" w:cs="黑体"/>
                <w:color w:val="00000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445"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zh-CN"/>
              </w:rPr>
            </w:pPr>
            <w:r>
              <w:rPr>
                <w:rFonts w:hint="eastAsia" w:ascii="Calibri" w:hAnsi="Calibri" w:eastAsia="宋体" w:cs="黑体"/>
                <w:color w:val="000000"/>
                <w:sz w:val="15"/>
                <w:szCs w:val="15"/>
                <w:lang w:eastAsia="zh-CN"/>
              </w:rPr>
              <w:t>总挥发性有机化合物/（g/L）</w:t>
            </w:r>
          </w:p>
        </w:tc>
        <w:tc>
          <w:tcPr>
            <w:tcW w:w="868"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700</w:t>
            </w:r>
          </w:p>
        </w:tc>
        <w:tc>
          <w:tcPr>
            <w:tcW w:w="802"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650</w:t>
            </w:r>
          </w:p>
        </w:tc>
        <w:tc>
          <w:tcPr>
            <w:tcW w:w="902"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700</w:t>
            </w:r>
          </w:p>
        </w:tc>
        <w:tc>
          <w:tcPr>
            <w:tcW w:w="869"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700</w:t>
            </w:r>
          </w:p>
        </w:tc>
      </w:tr>
    </w:tbl>
    <w:p>
      <w:pPr>
        <w:ind w:firstLine="375" w:firstLineChars="250"/>
        <w:rPr>
          <w:color w:val="000000"/>
          <w:sz w:val="15"/>
          <w:szCs w:val="15"/>
        </w:rPr>
      </w:pPr>
      <w:r>
        <w:rPr>
          <w:rFonts w:hint="eastAsia"/>
          <w:color w:val="000000"/>
          <w:sz w:val="15"/>
          <w:szCs w:val="15"/>
        </w:rPr>
        <w:t>注：如产品规定了稀释比例或产品有双组分或多组分时，应分别测定稀释剂和各组分中的含量，再按产品规定的配比计算混合后的总量。如稀释剂的使用量为某一范围时，应按照推荐的量大稀释量进行计算。</w:t>
      </w:r>
    </w:p>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5.1.4-5（2）  水基型胶粘剂中有害物质限量</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72"/>
        <w:gridCol w:w="863"/>
        <w:gridCol w:w="830"/>
        <w:gridCol w:w="830"/>
        <w:gridCol w:w="896"/>
        <w:gridCol w:w="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3" w:hRule="exact"/>
          <w:jc w:val="center"/>
        </w:trPr>
        <w:tc>
          <w:tcPr>
            <w:tcW w:w="1772"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项目</w:t>
            </w:r>
          </w:p>
        </w:tc>
        <w:tc>
          <w:tcPr>
            <w:tcW w:w="4114"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4" w:hRule="atLeast"/>
          <w:jc w:val="center"/>
        </w:trPr>
        <w:tc>
          <w:tcPr>
            <w:tcW w:w="17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p>
        </w:tc>
        <w:tc>
          <w:tcPr>
            <w:tcW w:w="863"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缩甲醛类胶粘剂</w:t>
            </w:r>
          </w:p>
        </w:tc>
        <w:tc>
          <w:tcPr>
            <w:tcW w:w="830"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聚乙酸乙烯酯胶粘剂</w:t>
            </w:r>
          </w:p>
        </w:tc>
        <w:tc>
          <w:tcPr>
            <w:tcW w:w="830"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橡胶类胶粘剂</w:t>
            </w:r>
          </w:p>
        </w:tc>
        <w:tc>
          <w:tcPr>
            <w:tcW w:w="896"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聚氨酯类胶粘剂</w:t>
            </w:r>
          </w:p>
        </w:tc>
        <w:tc>
          <w:tcPr>
            <w:tcW w:w="695"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其他胶粘剂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8" w:hRule="exact"/>
          <w:jc w:val="center"/>
        </w:trPr>
        <w:tc>
          <w:tcPr>
            <w:tcW w:w="177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kern w:val="0"/>
                <w:sz w:val="15"/>
                <w:szCs w:val="15"/>
                <w:lang w:eastAsia="en-US"/>
              </w:rPr>
              <w:t>游离甲醛/（g/kg）</w:t>
            </w:r>
          </w:p>
        </w:tc>
        <w:tc>
          <w:tcPr>
            <w:tcW w:w="863"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tc>
        <w:tc>
          <w:tcPr>
            <w:tcW w:w="830"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tc>
        <w:tc>
          <w:tcPr>
            <w:tcW w:w="830"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tc>
        <w:tc>
          <w:tcPr>
            <w:tcW w:w="89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w:t>
            </w:r>
          </w:p>
        </w:tc>
        <w:tc>
          <w:tcPr>
            <w:tcW w:w="69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90" w:hRule="exact"/>
          <w:jc w:val="center"/>
        </w:trPr>
        <w:tc>
          <w:tcPr>
            <w:tcW w:w="177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hint="eastAsia" w:ascii="Calibri" w:hAnsi="Calibri" w:eastAsia="宋体" w:cs="黑体"/>
                <w:color w:val="000000"/>
                <w:sz w:val="15"/>
                <w:szCs w:val="15"/>
                <w:lang w:eastAsia="en-US"/>
              </w:rPr>
              <w:t>苯/（g/kg）</w:t>
            </w:r>
          </w:p>
        </w:tc>
        <w:tc>
          <w:tcPr>
            <w:tcW w:w="4114"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12" w:hRule="exact"/>
          <w:jc w:val="center"/>
        </w:trPr>
        <w:tc>
          <w:tcPr>
            <w:tcW w:w="177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甲苯</w:t>
            </w:r>
            <w:r>
              <w:rPr>
                <w:rFonts w:hint="eastAsia" w:ascii="Calibri" w:hAnsi="Calibri" w:eastAsia="宋体" w:cs="黑体"/>
                <w:color w:val="000000"/>
                <w:sz w:val="15"/>
                <w:szCs w:val="15"/>
                <w:lang w:eastAsia="en-US"/>
              </w:rPr>
              <w:t>+二甲苯/（g/kg）</w:t>
            </w:r>
          </w:p>
        </w:tc>
        <w:tc>
          <w:tcPr>
            <w:tcW w:w="4114" w:type="dxa"/>
            <w:gridSpan w:val="5"/>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w:t>
            </w:r>
          </w:p>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p>
            <w:pPr>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772"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2"/>
              <w:jc w:val="center"/>
              <w:rPr>
                <w:rFonts w:ascii="Calibri" w:hAnsi="Calibri" w:eastAsia="宋体" w:cs="黑体"/>
                <w:color w:val="000000"/>
                <w:sz w:val="15"/>
                <w:szCs w:val="15"/>
                <w:lang w:eastAsia="zh-CN"/>
              </w:rPr>
            </w:pPr>
            <w:r>
              <w:rPr>
                <w:rFonts w:hint="eastAsia" w:ascii="Calibri" w:hAnsi="Calibri" w:eastAsia="宋体" w:cs="黑体"/>
                <w:color w:val="000000"/>
                <w:sz w:val="15"/>
                <w:szCs w:val="15"/>
                <w:lang w:eastAsia="zh-CN"/>
              </w:rPr>
              <w:t>总挥发性有机化合物/（g/L）</w:t>
            </w:r>
          </w:p>
        </w:tc>
        <w:tc>
          <w:tcPr>
            <w:tcW w:w="863"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350</w:t>
            </w:r>
          </w:p>
        </w:tc>
        <w:tc>
          <w:tcPr>
            <w:tcW w:w="830"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100</w:t>
            </w:r>
          </w:p>
        </w:tc>
        <w:tc>
          <w:tcPr>
            <w:tcW w:w="830"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250</w:t>
            </w:r>
          </w:p>
        </w:tc>
        <w:tc>
          <w:tcPr>
            <w:tcW w:w="896"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100</w:t>
            </w:r>
          </w:p>
        </w:tc>
        <w:tc>
          <w:tcPr>
            <w:tcW w:w="695" w:type="dxa"/>
            <w:tcBorders>
              <w:top w:val="single" w:color="000000" w:sz="4" w:space="0"/>
              <w:left w:val="single" w:color="000000" w:sz="4" w:space="0"/>
              <w:bottom w:val="single" w:color="000000" w:sz="4" w:space="0"/>
              <w:right w:val="single" w:color="000000" w:sz="4" w:space="0"/>
            </w:tcBorders>
            <w:vAlign w:val="center"/>
          </w:tcPr>
          <w:p>
            <w:pPr>
              <w:spacing w:line="262" w:lineRule="exact"/>
              <w:ind w:right="1"/>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350</w:t>
            </w:r>
          </w:p>
        </w:tc>
      </w:tr>
    </w:tbl>
    <w:p>
      <w:pPr>
        <w:ind w:firstLine="360" w:firstLineChars="200"/>
        <w:jc w:val="center"/>
        <w:rPr>
          <w:rFonts w:eastAsia="黑体"/>
          <w:bCs/>
          <w:color w:val="000000"/>
          <w:sz w:val="18"/>
          <w:szCs w:val="18"/>
        </w:rPr>
      </w:pPr>
      <w:r>
        <w:rPr>
          <w:rFonts w:eastAsia="黑体"/>
          <w:bCs/>
          <w:color w:val="000000"/>
          <w:sz w:val="18"/>
          <w:szCs w:val="18"/>
        </w:rPr>
        <w:t>表</w:t>
      </w:r>
      <w:r>
        <w:rPr>
          <w:rFonts w:hint="eastAsia" w:eastAsia="黑体"/>
          <w:bCs/>
          <w:color w:val="000000"/>
          <w:sz w:val="18"/>
          <w:szCs w:val="18"/>
        </w:rPr>
        <w:t>5.1.4-5（3）  本体型胶粘剂中有害物质限量</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291"/>
        <w:gridCol w:w="3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6" w:hRule="atLeast"/>
          <w:jc w:val="center"/>
        </w:trPr>
        <w:tc>
          <w:tcPr>
            <w:tcW w:w="2291" w:type="dxa"/>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w:t>
            </w:r>
          </w:p>
        </w:tc>
        <w:tc>
          <w:tcPr>
            <w:tcW w:w="3595" w:type="dxa"/>
            <w:tcBorders>
              <w:top w:val="single" w:color="000000" w:sz="4" w:space="0"/>
              <w:left w:val="single" w:color="000000" w:sz="4" w:space="0"/>
              <w:right w:val="single" w:color="000000" w:sz="4" w:space="0"/>
            </w:tcBorders>
            <w:vAlign w:val="center"/>
          </w:tcPr>
          <w:p>
            <w:pPr>
              <w:spacing w:line="262" w:lineRule="exact"/>
              <w:ind w:left="2"/>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2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总</w:t>
            </w:r>
            <w:r>
              <w:rPr>
                <w:rFonts w:ascii="Calibri" w:hAnsi="Calibri" w:eastAsia="宋体" w:cs="黑体"/>
                <w:color w:val="000000"/>
                <w:kern w:val="0"/>
                <w:sz w:val="15"/>
                <w:szCs w:val="15"/>
                <w:lang w:eastAsia="zh-CN"/>
              </w:rPr>
              <w:t>挥发性有机化合物含量（VOC</w:t>
            </w:r>
            <w:r>
              <w:rPr>
                <w:rFonts w:hint="eastAsia" w:ascii="Calibri" w:hAnsi="Calibri" w:eastAsia="宋体" w:cs="黑体"/>
                <w:color w:val="000000"/>
                <w:kern w:val="0"/>
                <w:sz w:val="15"/>
                <w:szCs w:val="15"/>
                <w:lang w:eastAsia="zh-CN"/>
              </w:rPr>
              <w:t>）</w:t>
            </w:r>
          </w:p>
        </w:tc>
        <w:tc>
          <w:tcPr>
            <w:tcW w:w="359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sz w:val="15"/>
                <w:szCs w:val="15"/>
                <w:lang w:eastAsia="en-US"/>
              </w:rPr>
              <w:t>≤</w:t>
            </w:r>
            <w:r>
              <w:rPr>
                <w:rFonts w:hint="eastAsia" w:ascii="Calibri" w:hAnsi="Calibri" w:eastAsia="宋体" w:cs="黑体"/>
                <w:color w:val="000000"/>
                <w:sz w:val="15"/>
                <w:szCs w:val="15"/>
                <w:lang w:eastAsia="en-US"/>
              </w:rPr>
              <w:t>100</w:t>
            </w:r>
          </w:p>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15g/kg</w:t>
            </w:r>
          </w:p>
        </w:tc>
      </w:tr>
    </w:tbl>
    <w:p>
      <w:pPr>
        <w:ind w:firstLine="360" w:firstLineChars="200"/>
        <w:jc w:val="center"/>
        <w:rPr>
          <w:color w:val="000000"/>
          <w:sz w:val="15"/>
          <w:szCs w:val="15"/>
        </w:rPr>
      </w:pPr>
      <w:r>
        <w:rPr>
          <w:rFonts w:eastAsia="黑体"/>
          <w:bCs/>
          <w:color w:val="000000"/>
          <w:sz w:val="18"/>
          <w:szCs w:val="18"/>
        </w:rPr>
        <w:t>表</w:t>
      </w:r>
      <w:r>
        <w:rPr>
          <w:rFonts w:hint="eastAsia" w:eastAsia="黑体"/>
          <w:bCs/>
          <w:color w:val="000000"/>
          <w:sz w:val="18"/>
          <w:szCs w:val="18"/>
        </w:rPr>
        <w:t>5.1.4-6  室内装饰装修材料木家具中有害物质限量</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47"/>
        <w:gridCol w:w="1348"/>
        <w:gridCol w:w="31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69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限量值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269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 xml:space="preserve">甲醛释放量 </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g/L</w:t>
            </w:r>
            <w:r>
              <w:rPr>
                <w:rFonts w:hint="eastAsia" w:ascii="Calibri" w:hAnsi="Calibri" w:eastAsia="宋体" w:cs="黑体"/>
                <w:color w:val="000000"/>
                <w:kern w:val="0"/>
                <w:sz w:val="15"/>
                <w:szCs w:val="15"/>
                <w:lang w:eastAsia="en-US"/>
              </w:rPr>
              <w:t>）</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1" w:hRule="atLeast"/>
          <w:jc w:val="center"/>
        </w:trPr>
        <w:tc>
          <w:tcPr>
            <w:tcW w:w="1347"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重金属含量（限色漆）</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mg/kg</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 xml:space="preserve"> </w:t>
            </w:r>
          </w:p>
        </w:tc>
        <w:tc>
          <w:tcPr>
            <w:tcW w:w="134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可溶性铅</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jc w:val="center"/>
        </w:trPr>
        <w:tc>
          <w:tcPr>
            <w:tcW w:w="1347"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34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可溶性镉</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jc w:val="center"/>
        </w:trPr>
        <w:tc>
          <w:tcPr>
            <w:tcW w:w="1347"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34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可溶性铬</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9" w:hRule="exact"/>
          <w:jc w:val="center"/>
        </w:trPr>
        <w:tc>
          <w:tcPr>
            <w:tcW w:w="1347"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348"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可溶性汞</w:t>
            </w:r>
          </w:p>
        </w:tc>
        <w:tc>
          <w:tcPr>
            <w:tcW w:w="319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60</w:t>
            </w:r>
          </w:p>
        </w:tc>
      </w:tr>
    </w:tbl>
    <w:p>
      <w:pPr>
        <w:ind w:firstLine="360" w:firstLineChars="200"/>
        <w:jc w:val="center"/>
        <w:rPr>
          <w:color w:val="000000"/>
          <w:sz w:val="15"/>
          <w:szCs w:val="15"/>
        </w:rPr>
      </w:pPr>
      <w:r>
        <w:rPr>
          <w:rFonts w:eastAsia="黑体"/>
          <w:bCs/>
          <w:color w:val="000000"/>
          <w:sz w:val="18"/>
          <w:szCs w:val="18"/>
        </w:rPr>
        <w:t>表</w:t>
      </w:r>
      <w:r>
        <w:rPr>
          <w:rFonts w:hint="eastAsia" w:eastAsia="黑体"/>
          <w:bCs/>
          <w:color w:val="000000"/>
          <w:sz w:val="18"/>
          <w:szCs w:val="18"/>
        </w:rPr>
        <w:t>5.1.4-7  壁纸中有在害物质限量值</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24"/>
        <w:gridCol w:w="2031"/>
        <w:gridCol w:w="20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exact"/>
          <w:jc w:val="center"/>
        </w:trPr>
        <w:tc>
          <w:tcPr>
            <w:tcW w:w="385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有害物质名称</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限量值</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mg/kg</w:t>
            </w:r>
            <w:r>
              <w:rPr>
                <w:rFonts w:hint="eastAsia" w:ascii="Calibri" w:hAnsi="Calibri" w:eastAsia="宋体" w:cs="黑体"/>
                <w:color w:val="000000"/>
                <w:kern w:val="0"/>
                <w:sz w:val="15"/>
                <w:szCs w:val="15"/>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1824"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ascii="Calibri" w:hAnsi="Calibri" w:eastAsia="宋体" w:cs="黑体"/>
                <w:color w:val="000000"/>
                <w:kern w:val="0"/>
                <w:sz w:val="15"/>
                <w:szCs w:val="15"/>
                <w:lang w:eastAsia="zh-CN"/>
              </w:rPr>
              <w:t>重金属（或其它）元素</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钡</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镉</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铬</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92"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2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铅</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砷</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ind w:left="1"/>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汞</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硒</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ind w:right="1"/>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2" w:hRule="exact"/>
          <w:jc w:val="center"/>
        </w:trPr>
        <w:tc>
          <w:tcPr>
            <w:tcW w:w="182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锑</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385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氯乙烯</w:t>
            </w:r>
            <w:r>
              <w:rPr>
                <w:rFonts w:hint="eastAsia" w:ascii="Calibri" w:hAnsi="Calibri" w:eastAsia="宋体" w:cs="黑体"/>
                <w:color w:val="000000"/>
                <w:kern w:val="0"/>
                <w:sz w:val="15"/>
                <w:szCs w:val="15"/>
                <w:lang w:eastAsia="en-US"/>
              </w:rPr>
              <w:t>单体</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43" w:hRule="exact"/>
          <w:jc w:val="center"/>
        </w:trPr>
        <w:tc>
          <w:tcPr>
            <w:tcW w:w="3855"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甲醛</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≤120</w:t>
            </w:r>
          </w:p>
        </w:tc>
      </w:tr>
    </w:tbl>
    <w:p>
      <w:pPr>
        <w:ind w:firstLine="360" w:firstLineChars="200"/>
        <w:jc w:val="center"/>
        <w:rPr>
          <w:color w:val="000000"/>
          <w:sz w:val="15"/>
          <w:szCs w:val="15"/>
        </w:rPr>
      </w:pPr>
      <w:r>
        <w:rPr>
          <w:rFonts w:eastAsia="黑体"/>
          <w:bCs/>
          <w:color w:val="000000"/>
          <w:sz w:val="18"/>
          <w:szCs w:val="18"/>
        </w:rPr>
        <w:t>表</w:t>
      </w:r>
      <w:r>
        <w:rPr>
          <w:rFonts w:hint="eastAsia" w:eastAsia="黑体"/>
          <w:bCs/>
          <w:color w:val="000000"/>
          <w:sz w:val="18"/>
          <w:szCs w:val="18"/>
        </w:rPr>
        <w:t>5.1.4-8  室内装饰装修材料聚氯乙烯卷材地板中有害物质限量</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17"/>
        <w:gridCol w:w="8"/>
        <w:gridCol w:w="1011"/>
        <w:gridCol w:w="1019"/>
        <w:gridCol w:w="20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8" w:hRule="exact"/>
          <w:jc w:val="center"/>
        </w:trPr>
        <w:tc>
          <w:tcPr>
            <w:tcW w:w="3855"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有害物质名称</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限量值</w:t>
            </w:r>
            <w:r>
              <w:rPr>
                <w:rFonts w:hint="eastAsia" w:ascii="Calibri" w:hAnsi="Calibri" w:eastAsia="宋体" w:cs="黑体"/>
                <w:color w:val="000000"/>
                <w:kern w:val="0"/>
                <w:sz w:val="15"/>
                <w:szCs w:val="15"/>
                <w:lang w:eastAsia="en-US"/>
              </w:rPr>
              <w:t>/（</w:t>
            </w:r>
            <w:r>
              <w:rPr>
                <w:rFonts w:ascii="Calibri" w:hAnsi="Calibri" w:eastAsia="宋体" w:cs="黑体"/>
                <w:color w:val="000000"/>
                <w:kern w:val="0"/>
                <w:sz w:val="15"/>
                <w:szCs w:val="15"/>
                <w:lang w:eastAsia="en-US"/>
              </w:rPr>
              <w:t>mg/kg</w:t>
            </w:r>
            <w:r>
              <w:rPr>
                <w:rFonts w:hint="eastAsia" w:ascii="Calibri" w:hAnsi="Calibri" w:eastAsia="宋体" w:cs="黑体"/>
                <w:color w:val="000000"/>
                <w:kern w:val="0"/>
                <w:sz w:val="15"/>
                <w:szCs w:val="15"/>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3855"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氯乙烯单体/（</w:t>
            </w:r>
            <w:r>
              <w:rPr>
                <w:rFonts w:ascii="Calibri" w:hAnsi="Calibri" w:eastAsia="宋体" w:cs="黑体"/>
                <w:color w:val="000000"/>
                <w:kern w:val="0"/>
                <w:sz w:val="15"/>
                <w:szCs w:val="15"/>
                <w:lang w:eastAsia="en-US"/>
              </w:rPr>
              <w:t>mg/kg</w:t>
            </w:r>
            <w:r>
              <w:rPr>
                <w:rFonts w:hint="eastAsia" w:ascii="Calibri" w:hAnsi="Calibri" w:eastAsia="宋体" w:cs="黑体"/>
                <w:color w:val="000000"/>
                <w:kern w:val="0"/>
                <w:sz w:val="15"/>
                <w:szCs w:val="15"/>
                <w:lang w:eastAsia="en-US"/>
              </w:rPr>
              <w:t>）</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1825"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可溶性</w:t>
            </w:r>
            <w:r>
              <w:rPr>
                <w:rFonts w:ascii="Calibri" w:hAnsi="Calibri" w:eastAsia="宋体" w:cs="黑体"/>
                <w:color w:val="000000"/>
                <w:kern w:val="0"/>
                <w:sz w:val="15"/>
                <w:szCs w:val="15"/>
                <w:lang w:eastAsia="zh-CN"/>
              </w:rPr>
              <w:t>重金属</w:t>
            </w:r>
            <w:r>
              <w:rPr>
                <w:rFonts w:hint="eastAsia" w:ascii="Calibri" w:hAnsi="Calibri" w:eastAsia="宋体" w:cs="黑体"/>
                <w:color w:val="000000"/>
                <w:kern w:val="0"/>
                <w:sz w:val="15"/>
                <w:szCs w:val="15"/>
                <w:lang w:eastAsia="zh-CN"/>
              </w:rPr>
              <w:t>限量/（mg/m</w:t>
            </w:r>
            <w:r>
              <w:rPr>
                <w:rFonts w:hint="eastAsia" w:ascii="Calibri" w:hAnsi="Calibri" w:eastAsia="宋体" w:cs="黑体"/>
                <w:color w:val="000000"/>
                <w:kern w:val="0"/>
                <w:sz w:val="15"/>
                <w:szCs w:val="15"/>
                <w:vertAlign w:val="superscript"/>
                <w:lang w:eastAsia="zh-CN"/>
              </w:rPr>
              <w:t>2</w:t>
            </w:r>
            <w:r>
              <w:rPr>
                <w:rFonts w:hint="eastAsia" w:ascii="Calibri" w:hAnsi="Calibri" w:eastAsia="宋体" w:cs="黑体"/>
                <w:color w:val="000000"/>
                <w:kern w:val="0"/>
                <w:sz w:val="15"/>
                <w:szCs w:val="15"/>
                <w:lang w:eastAsia="zh-CN"/>
              </w:rPr>
              <w:t>）</w:t>
            </w:r>
          </w:p>
        </w:tc>
        <w:tc>
          <w:tcPr>
            <w:tcW w:w="203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铅</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825"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3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镉</w:t>
            </w:r>
          </w:p>
        </w:tc>
        <w:tc>
          <w:tcPr>
            <w:tcW w:w="2031" w:type="dxa"/>
            <w:tcBorders>
              <w:top w:val="single" w:color="000000" w:sz="4" w:space="0"/>
              <w:left w:val="single" w:color="000000" w:sz="4" w:space="0"/>
              <w:bottom w:val="single" w:color="000000" w:sz="4" w:space="0"/>
              <w:right w:val="single" w:color="000000" w:sz="4" w:space="0"/>
            </w:tcBorders>
            <w:vAlign w:val="center"/>
          </w:tcPr>
          <w:p>
            <w:pPr>
              <w:spacing w:line="289" w:lineRule="exact"/>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w:t>
            </w:r>
            <w:r>
              <w:rPr>
                <w:rFonts w:hint="eastAsia" w:ascii="Calibri" w:hAnsi="Calibri" w:eastAsia="宋体" w:cs="黑体"/>
                <w:color w:val="000000"/>
                <w:kern w:val="0"/>
                <w:sz w:val="15"/>
                <w:szCs w:val="15"/>
                <w:lang w:eastAsia="en-US"/>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21" w:hRule="atLeast"/>
          <w:jc w:val="center"/>
        </w:trPr>
        <w:tc>
          <w:tcPr>
            <w:tcW w:w="1817"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hint="eastAsia" w:ascii="Calibri" w:hAnsi="Calibri" w:eastAsia="宋体" w:cs="黑体"/>
                <w:color w:val="000000"/>
                <w:kern w:val="0"/>
                <w:sz w:val="15"/>
                <w:szCs w:val="15"/>
                <w:lang w:eastAsia="zh-CN"/>
              </w:rPr>
              <w:t>挥发物的限量/（g/m</w:t>
            </w:r>
            <w:r>
              <w:rPr>
                <w:rFonts w:hint="eastAsia" w:ascii="Calibri" w:hAnsi="Calibri" w:eastAsia="宋体" w:cs="黑体"/>
                <w:color w:val="000000"/>
                <w:kern w:val="0"/>
                <w:sz w:val="15"/>
                <w:szCs w:val="15"/>
                <w:vertAlign w:val="superscript"/>
                <w:lang w:eastAsia="zh-CN"/>
              </w:rPr>
              <w:t>2</w:t>
            </w:r>
            <w:r>
              <w:rPr>
                <w:rFonts w:hint="eastAsia" w:ascii="Calibri" w:hAnsi="Calibri" w:eastAsia="宋体" w:cs="黑体"/>
                <w:color w:val="000000"/>
                <w:kern w:val="0"/>
                <w:sz w:val="15"/>
                <w:szCs w:val="15"/>
                <w:lang w:eastAsia="zh-CN"/>
              </w:rPr>
              <w:t>）</w:t>
            </w:r>
          </w:p>
        </w:tc>
        <w:tc>
          <w:tcPr>
            <w:tcW w:w="1019" w:type="dxa"/>
            <w:gridSpan w:val="2"/>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发泡类</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玻璃纤维基材</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9" w:hRule="exact"/>
          <w:jc w:val="center"/>
        </w:trPr>
        <w:tc>
          <w:tcPr>
            <w:tcW w:w="1817"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019" w:type="dxa"/>
            <w:gridSpan w:val="2"/>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其他基材</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3" w:hRule="exact"/>
          <w:jc w:val="center"/>
        </w:trPr>
        <w:tc>
          <w:tcPr>
            <w:tcW w:w="1817"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019" w:type="dxa"/>
            <w:gridSpan w:val="2"/>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非发泡类</w:t>
            </w: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玻璃纤维基材</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r>
              <w:rPr>
                <w:rFonts w:hint="eastAsia" w:ascii="Calibri" w:hAnsi="Calibri" w:eastAsia="宋体" w:cs="黑体"/>
                <w:color w:val="000000"/>
                <w:kern w:val="0"/>
                <w:sz w:val="15"/>
                <w:szCs w:val="15"/>
                <w:lang w:eastAsia="en-US"/>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3" w:hRule="exact"/>
          <w:jc w:val="center"/>
        </w:trPr>
        <w:tc>
          <w:tcPr>
            <w:tcW w:w="1817"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019" w:type="dxa"/>
            <w:gridSpan w:val="2"/>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019"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黑体"/>
                <w:color w:val="000000"/>
                <w:kern w:val="0"/>
                <w:sz w:val="15"/>
                <w:szCs w:val="15"/>
                <w:lang w:eastAsia="en-US"/>
              </w:rPr>
              <w:t>其他基材</w:t>
            </w:r>
          </w:p>
        </w:tc>
        <w:tc>
          <w:tcPr>
            <w:tcW w:w="203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w:t>
            </w:r>
            <w:r>
              <w:rPr>
                <w:rFonts w:hint="eastAsia" w:ascii="Calibri" w:hAnsi="Calibri" w:eastAsia="宋体" w:cs="黑体"/>
                <w:color w:val="000000"/>
                <w:kern w:val="0"/>
                <w:sz w:val="15"/>
                <w:szCs w:val="15"/>
                <w:lang w:eastAsia="en-US"/>
              </w:rPr>
              <w:t>0</w:t>
            </w:r>
          </w:p>
        </w:tc>
      </w:tr>
    </w:tbl>
    <w:p>
      <w:pPr>
        <w:pStyle w:val="59"/>
        <w:spacing w:line="360" w:lineRule="exact"/>
        <w:ind w:firstLine="420"/>
        <w:rPr>
          <w:rFonts w:eastAsia="华文仿宋"/>
          <w:color w:val="000000"/>
          <w:sz w:val="21"/>
          <w:szCs w:val="20"/>
        </w:rPr>
      </w:pPr>
      <w:r>
        <w:rPr>
          <w:rFonts w:hint="eastAsia" w:eastAsia="华文仿宋"/>
          <w:color w:val="000000"/>
          <w:sz w:val="21"/>
        </w:rPr>
        <w:t>本条的评价方法为：评价查阅室内装饰装修工程项目材料结算清单，以及相应材料的检测合格报告，并现场核实。</w:t>
      </w:r>
    </w:p>
    <w:bookmarkEnd w:id="100"/>
    <w:bookmarkEnd w:id="101"/>
    <w:bookmarkEnd w:id="102"/>
    <w:p>
      <w:pPr>
        <w:snapToGrid w:val="0"/>
        <w:spacing w:before="100" w:beforeAutospacing="1" w:after="100" w:afterAutospacing="1" w:line="360" w:lineRule="atLeast"/>
        <w:jc w:val="center"/>
        <w:outlineLvl w:val="1"/>
        <w:rPr>
          <w:rFonts w:eastAsia="黑体"/>
          <w:color w:val="000000"/>
        </w:rPr>
      </w:pPr>
      <w:bookmarkStart w:id="103" w:name="_Toc349912339"/>
      <w:bookmarkStart w:id="104" w:name="_Toc413850633"/>
      <w:bookmarkStart w:id="105" w:name="_Toc413848306"/>
      <w:bookmarkStart w:id="106" w:name="_Toc413849866"/>
      <w:bookmarkStart w:id="107" w:name="_Toc363714402"/>
      <w:bookmarkStart w:id="108" w:name="_Toc433209297"/>
      <w:r>
        <w:rPr>
          <w:rFonts w:hint="eastAsia" w:eastAsia="黑体"/>
          <w:b/>
          <w:color w:val="000000"/>
        </w:rPr>
        <w:t>5</w:t>
      </w:r>
      <w:r>
        <w:rPr>
          <w:rFonts w:eastAsia="黑体"/>
          <w:b/>
          <w:color w:val="000000"/>
        </w:rPr>
        <w:t>.2</w:t>
      </w:r>
      <w:r>
        <w:rPr>
          <w:rFonts w:eastAsia="黑体"/>
          <w:color w:val="000000"/>
        </w:rPr>
        <w:t xml:space="preserve">  评分项</w:t>
      </w:r>
      <w:bookmarkEnd w:id="103"/>
      <w:bookmarkEnd w:id="104"/>
      <w:bookmarkEnd w:id="105"/>
      <w:bookmarkEnd w:id="106"/>
      <w:bookmarkEnd w:id="107"/>
      <w:bookmarkEnd w:id="108"/>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Ⅰ</w:t>
      </w:r>
      <w:r>
        <w:rPr>
          <w:rFonts w:cs="宋体"/>
          <w:color w:val="000000"/>
          <w:sz w:val="21"/>
          <w:szCs w:val="21"/>
        </w:rPr>
        <w:t xml:space="preserve">  </w:t>
      </w:r>
      <w:r>
        <w:rPr>
          <w:rFonts w:hint="eastAsia" w:cs="宋体"/>
          <w:color w:val="000000"/>
          <w:sz w:val="21"/>
          <w:szCs w:val="21"/>
        </w:rPr>
        <w:t>材料</w:t>
      </w:r>
    </w:p>
    <w:p>
      <w:pPr>
        <w:pStyle w:val="59"/>
        <w:spacing w:line="360" w:lineRule="exact"/>
        <w:ind w:firstLine="0" w:firstLineChars="0"/>
        <w:rPr>
          <w:color w:val="000000"/>
          <w:sz w:val="21"/>
          <w:szCs w:val="20"/>
        </w:rPr>
      </w:pPr>
      <w:r>
        <w:rPr>
          <w:rStyle w:val="52"/>
          <w:rFonts w:hint="eastAsia" w:eastAsia="仿宋"/>
          <w:b/>
          <w:color w:val="000000"/>
          <w:sz w:val="21"/>
          <w:szCs w:val="21"/>
          <w:u w:val="none"/>
        </w:rPr>
        <w:t>5.2.1</w:t>
      </w:r>
      <w:r>
        <w:rPr>
          <w:rFonts w:hint="eastAsia"/>
          <w:b/>
          <w:bCs/>
          <w:color w:val="000000"/>
          <w:sz w:val="21"/>
          <w:szCs w:val="21"/>
        </w:rPr>
        <w:t xml:space="preserve">  </w:t>
      </w:r>
      <w:r>
        <w:rPr>
          <w:rFonts w:hint="eastAsia"/>
          <w:color w:val="000000"/>
          <w:sz w:val="21"/>
          <w:szCs w:val="20"/>
        </w:rPr>
        <w:t>选用的装饰装修材料满足国家现行绿色产品评价标准中对有害物质限量的要求，评价总分值为</w:t>
      </w:r>
      <w:r>
        <w:rPr>
          <w:color w:val="000000"/>
          <w:sz w:val="21"/>
          <w:szCs w:val="20"/>
        </w:rPr>
        <w:t>10</w:t>
      </w:r>
      <w:r>
        <w:rPr>
          <w:rFonts w:hint="eastAsia"/>
          <w:color w:val="000000"/>
          <w:sz w:val="21"/>
          <w:szCs w:val="20"/>
        </w:rPr>
        <w:t>分。选用满足要求的装饰装修材料达到3类及以上，得5分；达到5类及以上，得</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Fonts w:hint="eastAsia"/>
          <w:b/>
          <w:bCs/>
          <w:color w:val="000000"/>
          <w:szCs w:val="21"/>
        </w:rPr>
        <w:t>5</w:t>
      </w:r>
      <w:r>
        <w:rPr>
          <w:b/>
          <w:bCs/>
          <w:color w:val="000000"/>
          <w:szCs w:val="21"/>
        </w:rPr>
        <w:t>.</w:t>
      </w:r>
      <w:r>
        <w:rPr>
          <w:rFonts w:hint="eastAsia"/>
          <w:b/>
          <w:bCs/>
          <w:color w:val="000000"/>
          <w:szCs w:val="21"/>
        </w:rPr>
        <w:t>2</w:t>
      </w:r>
      <w:r>
        <w:rPr>
          <w:b/>
          <w:bCs/>
          <w:color w:val="000000"/>
          <w:szCs w:val="21"/>
        </w:rPr>
        <w:t>.</w:t>
      </w:r>
      <w:r>
        <w:rPr>
          <w:rFonts w:hint="eastAsia"/>
          <w:b/>
          <w:bCs/>
          <w:color w:val="000000"/>
          <w:szCs w:val="21"/>
        </w:rPr>
        <w:t>1</w:t>
      </w:r>
      <w:r>
        <w:rPr>
          <w:b/>
          <w:bCs/>
          <w:color w:val="000000"/>
          <w:szCs w:val="21"/>
        </w:rPr>
        <w:t xml:space="preserve">  </w:t>
      </w:r>
      <w:r>
        <w:rPr>
          <w:rFonts w:hint="eastAsia" w:eastAsia="华文仿宋"/>
          <w:color w:val="000000"/>
        </w:rPr>
        <w:t>本条适用于各类民用建筑室内全装修的评价。</w:t>
      </w:r>
    </w:p>
    <w:p>
      <w:pPr>
        <w:ind w:firstLine="420" w:firstLineChars="200"/>
        <w:rPr>
          <w:rFonts w:eastAsia="华文仿宋"/>
          <w:color w:val="000000"/>
        </w:rPr>
      </w:pPr>
      <w:r>
        <w:rPr>
          <w:rFonts w:hint="eastAsia" w:eastAsia="华文仿宋"/>
          <w:color w:val="000000"/>
        </w:rPr>
        <w:t>从源头把控，选用绿色、环保、安全的室内装饰装修材料是保障室内空气质量的基本手段。为提升家装消费品质量，满足人民日益增长的对健康生活的追求，有关部门于2017年12月8日发布了包括内墙涂覆材料、木器漆、地坪涂料、壁纸、陶瓷砖、卫生陶瓷、人造板和木质地板、防水涂料、密封胶、家具等产品在内的绿色产品评价系列国家标准。如现行国家标准《绿色产品评价涂料》GB/T35602、《绿色产品评价纸和纸制品》GB/T35613、《绿色产品评价陶瓷砖（板）》GB/T35610、《绿色产品评价人造板和木质地板》GB/T35601、《绿色产品评价防水与密封材料》GB/T35609等，对产品中有害物质种类及限量进行了严格、明确的规定。其他装饰装修材料，其有害物质限量同样应符合现行有关标准的规定。</w:t>
      </w:r>
    </w:p>
    <w:p>
      <w:pPr>
        <w:ind w:firstLine="420" w:firstLineChars="200"/>
        <w:rPr>
          <w:rFonts w:eastAsia="华文仿宋"/>
          <w:color w:val="000000"/>
        </w:rPr>
      </w:pPr>
      <w:r>
        <w:rPr>
          <w:rFonts w:eastAsia="华文仿宋"/>
          <w:color w:val="000000"/>
        </w:rPr>
        <w:t>本条评价方法为：</w:t>
      </w:r>
      <w:r>
        <w:rPr>
          <w:rFonts w:hint="eastAsia" w:eastAsia="华文仿宋"/>
          <w:color w:val="000000"/>
        </w:rPr>
        <w:t>预评价查阅相关设计文件；评价查阅相关竣工图、工程决算材料清单、产品检验报告。</w:t>
      </w:r>
    </w:p>
    <w:p>
      <w:pPr>
        <w:pStyle w:val="59"/>
        <w:spacing w:line="360" w:lineRule="exact"/>
        <w:ind w:firstLine="0" w:firstLineChars="0"/>
        <w:rPr>
          <w:color w:val="000000"/>
          <w:sz w:val="21"/>
          <w:szCs w:val="20"/>
        </w:rPr>
      </w:pPr>
      <w:r>
        <w:rPr>
          <w:rStyle w:val="52"/>
          <w:rFonts w:hint="eastAsia" w:eastAsia="仿宋"/>
          <w:b/>
          <w:color w:val="000000"/>
          <w:sz w:val="21"/>
          <w:szCs w:val="21"/>
          <w:u w:val="none"/>
        </w:rPr>
        <w:t>5.2.2</w:t>
      </w:r>
      <w:r>
        <w:rPr>
          <w:rFonts w:hint="eastAsia"/>
          <w:b/>
          <w:bCs/>
          <w:color w:val="000000"/>
          <w:sz w:val="21"/>
          <w:szCs w:val="21"/>
        </w:rPr>
        <w:t xml:space="preserve">  </w:t>
      </w:r>
      <w:r>
        <w:rPr>
          <w:rFonts w:hint="eastAsia"/>
          <w:color w:val="000000"/>
          <w:sz w:val="21"/>
          <w:szCs w:val="20"/>
        </w:rPr>
        <w:t>采购选用具有吸声降噪、抗菌防霉、净化空气、调节湿度、防结露等附加环境功能的室内装饰装修材料，其性能符合相关材料产品的国家现行有关标准的规定，评价最高分值为</w:t>
      </w:r>
      <w:r>
        <w:rPr>
          <w:color w:val="000000"/>
          <w:sz w:val="21"/>
          <w:szCs w:val="20"/>
        </w:rPr>
        <w:t>15</w:t>
      </w:r>
      <w:r>
        <w:rPr>
          <w:rFonts w:hint="eastAsia"/>
          <w:color w:val="000000"/>
          <w:sz w:val="21"/>
          <w:szCs w:val="20"/>
        </w:rPr>
        <w:t>分。一种材料或多种材料具有1项附加环境功能，得</w:t>
      </w:r>
      <w:r>
        <w:rPr>
          <w:color w:val="000000"/>
          <w:sz w:val="21"/>
          <w:szCs w:val="20"/>
        </w:rPr>
        <w:t>5</w:t>
      </w:r>
      <w:r>
        <w:rPr>
          <w:rFonts w:hint="eastAsia"/>
          <w:color w:val="000000"/>
          <w:sz w:val="21"/>
          <w:szCs w:val="20"/>
        </w:rPr>
        <w:t>分；具有2项附加环境功能,得</w:t>
      </w:r>
      <w:r>
        <w:rPr>
          <w:color w:val="000000"/>
          <w:sz w:val="21"/>
          <w:szCs w:val="20"/>
        </w:rPr>
        <w:t>10</w:t>
      </w:r>
      <w:r>
        <w:rPr>
          <w:rFonts w:hint="eastAsia"/>
          <w:color w:val="000000"/>
          <w:sz w:val="21"/>
          <w:szCs w:val="20"/>
        </w:rPr>
        <w:t>分；具有3项以上附加环境功能，得</w:t>
      </w:r>
      <w:r>
        <w:rPr>
          <w:color w:val="000000"/>
          <w:sz w:val="21"/>
          <w:szCs w:val="20"/>
        </w:rPr>
        <w:t>15</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Fonts w:hint="eastAsia"/>
          <w:b/>
          <w:bCs/>
          <w:color w:val="000000"/>
          <w:szCs w:val="21"/>
        </w:rPr>
        <w:t xml:space="preserve">5.2.2  </w:t>
      </w:r>
      <w:r>
        <w:rPr>
          <w:rFonts w:hint="eastAsia" w:eastAsia="华文仿宋"/>
          <w:color w:val="000000"/>
        </w:rPr>
        <w:t>本条适用于各类民用建筑室内全装修的评价。</w:t>
      </w:r>
    </w:p>
    <w:p>
      <w:pPr>
        <w:ind w:firstLine="420" w:firstLineChars="200"/>
        <w:rPr>
          <w:rFonts w:eastAsia="华文仿宋"/>
          <w:color w:val="000000"/>
        </w:rPr>
      </w:pPr>
      <w:r>
        <w:rPr>
          <w:rFonts w:eastAsia="华文仿宋"/>
          <w:color w:val="000000"/>
        </w:rPr>
        <w:t>随着社会的发展及生活水平的提高，人们的环保和健康意识明显增强，对居住环境的舒适度和安全性要求越来越高，当室内温度为20</w:t>
      </w:r>
      <w:r>
        <w:rPr>
          <w:rFonts w:hint="eastAsia" w:ascii="宋体" w:hAnsi="宋体" w:cs="宋体"/>
          <w:color w:val="000000"/>
        </w:rPr>
        <w:t>℃</w:t>
      </w:r>
      <w:r>
        <w:rPr>
          <w:rFonts w:eastAsia="华文仿宋"/>
          <w:color w:val="000000"/>
        </w:rPr>
        <w:t>~23</w:t>
      </w:r>
      <w:r>
        <w:rPr>
          <w:rFonts w:hint="eastAsia" w:ascii="宋体" w:hAnsi="宋体" w:cs="宋体"/>
          <w:color w:val="000000"/>
        </w:rPr>
        <w:t>℃</w:t>
      </w:r>
      <w:r>
        <w:rPr>
          <w:rFonts w:eastAsia="华文仿宋"/>
          <w:color w:val="000000"/>
        </w:rPr>
        <w:t>、相对湿度为50%~60%、VOC含量低、负离子含量高时，人体感觉舒适，有益健康。近年来随着材料科学的发展，一些具有特殊功能的材料不断出现，室内装饰装修过程中使用有特殊附加环境功能的材料有助于净化室内空气质量，减少噪声、霉菌、结露等对室内空气质量影响。</w:t>
      </w:r>
    </w:p>
    <w:p>
      <w:pPr>
        <w:ind w:firstLine="420" w:firstLineChars="200"/>
        <w:rPr>
          <w:color w:val="000000"/>
        </w:rPr>
      </w:pPr>
      <w:r>
        <w:rPr>
          <w:rFonts w:eastAsia="华文仿宋"/>
          <w:color w:val="000000"/>
        </w:rPr>
        <w:t>国家现行标准如《抗菌涂料》HGT 3950、《负离子功能涂料》HGT 4109、《吸声用穿孔石膏板》JC/T 803、《抗菌陶瓷制品抗菌性能》JC/T 897、《室内空气净化功能涂覆材料净化性能》JC/T 1074、《抗菌防霉木质装饰板》JC/T 2039、调湿功能室内建筑装饰材料》JC/T 2082中对材料的特殊附加环境功能的有关规定见表</w:t>
      </w:r>
      <w:r>
        <w:rPr>
          <w:rFonts w:hint="eastAsia" w:eastAsia="华文仿宋"/>
          <w:color w:val="000000"/>
        </w:rPr>
        <w:t>5.2.2-1</w:t>
      </w:r>
      <w:r>
        <w:rPr>
          <w:rFonts w:eastAsia="华文仿宋"/>
          <w:color w:val="000000"/>
        </w:rPr>
        <w:t>~表</w:t>
      </w:r>
      <w:r>
        <w:rPr>
          <w:rFonts w:hint="eastAsia" w:eastAsia="华文仿宋"/>
          <w:color w:val="000000"/>
        </w:rPr>
        <w:t>5.2.2-5</w:t>
      </w:r>
      <w:r>
        <w:rPr>
          <w:rFonts w:eastAsia="华文仿宋"/>
          <w:color w:val="000000"/>
        </w:rPr>
        <w:t>。</w:t>
      </w:r>
    </w:p>
    <w:p>
      <w:pPr>
        <w:jc w:val="center"/>
        <w:rPr>
          <w:color w:val="000000"/>
        </w:rPr>
      </w:pPr>
      <w:r>
        <w:rPr>
          <w:rFonts w:eastAsia="黑体"/>
          <w:bCs/>
          <w:color w:val="000000"/>
          <w:sz w:val="18"/>
          <w:szCs w:val="18"/>
        </w:rPr>
        <w:t>表</w:t>
      </w:r>
      <w:r>
        <w:rPr>
          <w:rFonts w:hint="eastAsia" w:eastAsia="黑体"/>
          <w:bCs/>
          <w:color w:val="000000"/>
          <w:sz w:val="18"/>
          <w:szCs w:val="18"/>
        </w:rPr>
        <w:t>5.2.2-1  抗细菌性能</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28"/>
        <w:gridCol w:w="3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2728" w:type="dxa"/>
            <w:tcBorders>
              <w:top w:val="single" w:color="000000" w:sz="4" w:space="0"/>
              <w:left w:val="single" w:color="000000" w:sz="4" w:space="0"/>
              <w:bottom w:val="single" w:color="000000" w:sz="4" w:space="0"/>
              <w:right w:val="single" w:color="000000" w:sz="4" w:space="0"/>
            </w:tcBorders>
            <w:vAlign w:val="top"/>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项目名称</w:t>
            </w:r>
          </w:p>
        </w:tc>
        <w:tc>
          <w:tcPr>
            <w:tcW w:w="3158" w:type="dxa"/>
            <w:tcBorders>
              <w:top w:val="single" w:color="000000" w:sz="4" w:space="0"/>
              <w:left w:val="single" w:color="000000" w:sz="4" w:space="0"/>
              <w:bottom w:val="single" w:color="000000" w:sz="4" w:space="0"/>
              <w:right w:val="single" w:color="000000" w:sz="4" w:space="0"/>
            </w:tcBorders>
            <w:vAlign w:val="top"/>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抗菌防霉性能指标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2728" w:type="dxa"/>
            <w:tcBorders>
              <w:top w:val="single" w:color="000000" w:sz="4" w:space="0"/>
              <w:left w:val="single" w:color="000000" w:sz="4" w:space="0"/>
              <w:bottom w:val="single" w:color="000000" w:sz="4" w:space="0"/>
              <w:right w:val="single" w:color="000000" w:sz="4" w:space="0"/>
            </w:tcBorders>
            <w:vAlign w:val="top"/>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抗细菌率/%</w:t>
            </w:r>
            <w:r>
              <w:rPr>
                <w:rFonts w:hint="eastAsia" w:ascii="Calibri" w:hAnsi="Calibri" w:eastAsia="宋体" w:cs="黑体"/>
                <w:color w:val="000000"/>
                <w:kern w:val="0"/>
                <w:sz w:val="15"/>
                <w:szCs w:val="15"/>
                <w:lang w:eastAsia="en-US"/>
              </w:rPr>
              <w:t xml:space="preserve">                    </w:t>
            </w:r>
            <w:r>
              <w:rPr>
                <w:rFonts w:ascii="Calibri" w:hAnsi="Calibri" w:eastAsia="宋体" w:cs="黑体"/>
                <w:color w:val="000000"/>
                <w:kern w:val="0"/>
                <w:sz w:val="15"/>
                <w:szCs w:val="15"/>
                <w:lang w:eastAsia="en-US"/>
              </w:rPr>
              <w:t>≥</w:t>
            </w:r>
          </w:p>
        </w:tc>
        <w:tc>
          <w:tcPr>
            <w:tcW w:w="3158" w:type="dxa"/>
            <w:tcBorders>
              <w:top w:val="single" w:color="000000" w:sz="4" w:space="0"/>
              <w:left w:val="single" w:color="000000" w:sz="4" w:space="0"/>
              <w:bottom w:val="single" w:color="000000" w:sz="4" w:space="0"/>
              <w:right w:val="single" w:color="000000" w:sz="4" w:space="0"/>
            </w:tcBorders>
            <w:vAlign w:val="top"/>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exact"/>
          <w:jc w:val="center"/>
        </w:trPr>
        <w:tc>
          <w:tcPr>
            <w:tcW w:w="2728" w:type="dxa"/>
            <w:tcBorders>
              <w:top w:val="single" w:color="000000" w:sz="4" w:space="0"/>
              <w:left w:val="single" w:color="000000" w:sz="4" w:space="0"/>
              <w:bottom w:val="single" w:color="000000" w:sz="4" w:space="0"/>
              <w:right w:val="single" w:color="000000" w:sz="4" w:space="0"/>
            </w:tcBorders>
            <w:vAlign w:val="top"/>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防霉菌等级</w:t>
            </w:r>
          </w:p>
        </w:tc>
        <w:tc>
          <w:tcPr>
            <w:tcW w:w="3158" w:type="dxa"/>
            <w:tcBorders>
              <w:top w:val="single" w:color="000000" w:sz="4" w:space="0"/>
              <w:left w:val="single" w:color="000000" w:sz="4" w:space="0"/>
              <w:bottom w:val="single" w:color="000000" w:sz="4" w:space="0"/>
              <w:right w:val="single" w:color="000000" w:sz="4" w:space="0"/>
            </w:tcBorders>
            <w:vAlign w:val="top"/>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0级或1级</w:t>
            </w:r>
          </w:p>
        </w:tc>
      </w:tr>
    </w:tbl>
    <w:p>
      <w:pPr>
        <w:spacing w:before="64"/>
        <w:ind w:left="2"/>
        <w:jc w:val="center"/>
        <w:rPr>
          <w:rFonts w:cs="宋体"/>
          <w:color w:val="000000"/>
          <w:szCs w:val="21"/>
        </w:rPr>
      </w:pPr>
      <w:r>
        <w:rPr>
          <w:rFonts w:eastAsia="黑体"/>
          <w:bCs/>
          <w:color w:val="000000"/>
          <w:sz w:val="18"/>
          <w:szCs w:val="18"/>
        </w:rPr>
        <w:t>表</w:t>
      </w:r>
      <w:r>
        <w:rPr>
          <w:rFonts w:hint="eastAsia" w:eastAsia="黑体"/>
          <w:bCs/>
          <w:color w:val="000000"/>
          <w:sz w:val="18"/>
          <w:szCs w:val="18"/>
        </w:rPr>
        <w:t xml:space="preserve">5.2.2-2  </w:t>
      </w:r>
      <w:r>
        <w:rPr>
          <w:rFonts w:eastAsia="黑体"/>
          <w:bCs/>
          <w:color w:val="000000"/>
          <w:sz w:val="18"/>
          <w:szCs w:val="18"/>
        </w:rPr>
        <w:t>抗菌防霉耐久性能</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13"/>
        <w:gridCol w:w="3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2" w:hRule="exac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项目名称</w:t>
            </w:r>
          </w:p>
        </w:tc>
        <w:tc>
          <w:tcPr>
            <w:tcW w:w="3173"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抗菌防霉耐久性指标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exac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抗细菌率/%</w:t>
            </w:r>
            <w:r>
              <w:rPr>
                <w:rFonts w:hint="eastAsia" w:ascii="Calibri" w:hAnsi="Calibri" w:eastAsia="宋体" w:cs="黑体"/>
                <w:color w:val="000000"/>
                <w:kern w:val="0"/>
                <w:sz w:val="15"/>
                <w:szCs w:val="15"/>
                <w:lang w:eastAsia="en-US"/>
              </w:rPr>
              <w:t xml:space="preserve">                    </w:t>
            </w:r>
            <w:r>
              <w:rPr>
                <w:rFonts w:ascii="Calibri" w:hAnsi="Calibri" w:eastAsia="宋体" w:cs="黑体"/>
                <w:color w:val="000000"/>
                <w:kern w:val="0"/>
                <w:sz w:val="15"/>
                <w:szCs w:val="15"/>
                <w:lang w:eastAsia="en-US"/>
              </w:rPr>
              <w:t>≥</w:t>
            </w:r>
          </w:p>
        </w:tc>
        <w:tc>
          <w:tcPr>
            <w:tcW w:w="3173"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7" w:hRule="exact"/>
          <w:jc w:val="center"/>
        </w:trPr>
        <w:tc>
          <w:tcPr>
            <w:tcW w:w="2713" w:type="dxa"/>
            <w:tcBorders>
              <w:top w:val="single" w:color="000000" w:sz="4" w:space="0"/>
              <w:left w:val="single" w:color="000000" w:sz="4" w:space="0"/>
              <w:bottom w:val="single" w:color="000000" w:sz="4" w:space="0"/>
              <w:right w:val="single" w:color="000000" w:sz="4" w:space="0"/>
            </w:tcBorders>
            <w:vAlign w:val="center"/>
          </w:tcPr>
          <w:p>
            <w:pPr>
              <w:ind w:left="105" w:leftChars="50"/>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防霉菌等级</w:t>
            </w:r>
          </w:p>
        </w:tc>
        <w:tc>
          <w:tcPr>
            <w:tcW w:w="3173"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0级、1级或2级</w:t>
            </w:r>
          </w:p>
        </w:tc>
      </w:tr>
    </w:tbl>
    <w:p>
      <w:pPr>
        <w:spacing w:before="64"/>
        <w:ind w:left="2"/>
        <w:jc w:val="center"/>
        <w:rPr>
          <w:rFonts w:cs="宋体"/>
          <w:color w:val="000000"/>
          <w:szCs w:val="21"/>
        </w:rPr>
      </w:pPr>
      <w:r>
        <w:rPr>
          <w:rFonts w:eastAsia="黑体"/>
          <w:bCs/>
          <w:color w:val="000000"/>
          <w:sz w:val="18"/>
          <w:szCs w:val="18"/>
        </w:rPr>
        <w:t>表</w:t>
      </w:r>
      <w:r>
        <w:rPr>
          <w:rFonts w:hint="eastAsia" w:eastAsia="黑体"/>
          <w:bCs/>
          <w:color w:val="000000"/>
          <w:sz w:val="18"/>
          <w:szCs w:val="18"/>
        </w:rPr>
        <w:t>5.2.2-3  净化</w:t>
      </w:r>
      <w:r>
        <w:rPr>
          <w:rFonts w:eastAsia="黑体"/>
          <w:bCs/>
          <w:color w:val="000000"/>
          <w:sz w:val="18"/>
          <w:szCs w:val="18"/>
        </w:rPr>
        <w:t>性能</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95"/>
        <w:gridCol w:w="2046"/>
        <w:gridCol w:w="2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3" w:hRule="exact"/>
          <w:jc w:val="center"/>
        </w:trPr>
        <w:tc>
          <w:tcPr>
            <w:tcW w:w="1795"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项目名称</w:t>
            </w:r>
          </w:p>
        </w:tc>
        <w:tc>
          <w:tcPr>
            <w:tcW w:w="40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净化效率/%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795"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宋体"/>
                <w:color w:val="000000"/>
                <w:kern w:val="0"/>
                <w:sz w:val="15"/>
                <w:szCs w:val="15"/>
                <w:lang w:eastAsia="en-US"/>
              </w:rPr>
              <w:t>Ⅰ</w:t>
            </w:r>
            <w:r>
              <w:rPr>
                <w:rFonts w:ascii="Calibri" w:hAnsi="Calibri" w:eastAsia="宋体" w:cs="黑体"/>
                <w:color w:val="000000"/>
                <w:kern w:val="0"/>
                <w:sz w:val="15"/>
                <w:szCs w:val="15"/>
                <w:lang w:eastAsia="en-US"/>
              </w:rPr>
              <w:t>类</w:t>
            </w:r>
          </w:p>
        </w:tc>
        <w:tc>
          <w:tcPr>
            <w:tcW w:w="20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Calibri" w:hAnsi="Calibri" w:eastAsia="宋体" w:cs="宋体"/>
                <w:color w:val="000000"/>
                <w:kern w:val="0"/>
                <w:sz w:val="15"/>
                <w:szCs w:val="15"/>
                <w:lang w:eastAsia="en-US"/>
              </w:rPr>
              <w:t>Ⅱ</w:t>
            </w:r>
            <w:r>
              <w:rPr>
                <w:rFonts w:ascii="Calibri" w:hAnsi="Calibri" w:eastAsia="宋体" w:cs="黑体"/>
                <w:color w:val="000000"/>
                <w:kern w:val="0"/>
                <w:sz w:val="15"/>
                <w:szCs w:val="15"/>
                <w:lang w:eastAsia="en-US"/>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exact"/>
          <w:jc w:val="center"/>
        </w:trPr>
        <w:tc>
          <w:tcPr>
            <w:tcW w:w="179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甲醛</w:t>
            </w:r>
          </w:p>
        </w:tc>
        <w:tc>
          <w:tcPr>
            <w:tcW w:w="20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≥75</w:t>
            </w:r>
          </w:p>
        </w:tc>
        <w:tc>
          <w:tcPr>
            <w:tcW w:w="20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8" w:hRule="exact"/>
          <w:jc w:val="center"/>
        </w:trPr>
        <w:tc>
          <w:tcPr>
            <w:tcW w:w="179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甲苯</w:t>
            </w:r>
          </w:p>
        </w:tc>
        <w:tc>
          <w:tcPr>
            <w:tcW w:w="20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≥35</w:t>
            </w:r>
          </w:p>
        </w:tc>
        <w:tc>
          <w:tcPr>
            <w:tcW w:w="204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≥50</w:t>
            </w:r>
          </w:p>
        </w:tc>
      </w:tr>
    </w:tbl>
    <w:p>
      <w:pPr>
        <w:spacing w:before="64"/>
        <w:ind w:left="2"/>
        <w:jc w:val="center"/>
        <w:rPr>
          <w:rFonts w:cs="宋体"/>
          <w:color w:val="000000"/>
          <w:szCs w:val="21"/>
        </w:rPr>
      </w:pPr>
      <w:r>
        <w:rPr>
          <w:rFonts w:eastAsia="黑体"/>
          <w:bCs/>
          <w:color w:val="000000"/>
          <w:sz w:val="18"/>
          <w:szCs w:val="18"/>
        </w:rPr>
        <w:t>表</w:t>
      </w:r>
      <w:r>
        <w:rPr>
          <w:rFonts w:hint="eastAsia" w:eastAsia="黑体"/>
          <w:bCs/>
          <w:color w:val="000000"/>
          <w:sz w:val="18"/>
          <w:szCs w:val="18"/>
        </w:rPr>
        <w:t>5.2.2-4  净化效果持久性</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55"/>
        <w:gridCol w:w="2065"/>
        <w:gridCol w:w="2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4" w:hRule="exact"/>
          <w:jc w:val="center"/>
        </w:trPr>
        <w:tc>
          <w:tcPr>
            <w:tcW w:w="1755"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项目名称</w:t>
            </w:r>
          </w:p>
        </w:tc>
        <w:tc>
          <w:tcPr>
            <w:tcW w:w="413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净化效率/%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exact"/>
          <w:jc w:val="center"/>
        </w:trPr>
        <w:tc>
          <w:tcPr>
            <w:tcW w:w="1755"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2065"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4"/>
              <w:jc w:val="center"/>
              <w:rPr>
                <w:rFonts w:ascii="Calibri" w:hAnsi="Calibri" w:eastAsia="宋体" w:cs="黑体"/>
                <w:color w:val="000000"/>
                <w:kern w:val="0"/>
                <w:sz w:val="15"/>
                <w:szCs w:val="15"/>
                <w:lang w:eastAsia="en-US"/>
              </w:rPr>
            </w:pPr>
            <w:r>
              <w:rPr>
                <w:rFonts w:hint="eastAsia" w:ascii="Calibri" w:hAnsi="Calibri" w:eastAsia="宋体" w:cs="宋体"/>
                <w:color w:val="000000"/>
                <w:kern w:val="0"/>
                <w:sz w:val="15"/>
                <w:szCs w:val="15"/>
                <w:lang w:eastAsia="en-US"/>
              </w:rPr>
              <w:t>Ⅰ</w:t>
            </w:r>
            <w:r>
              <w:rPr>
                <w:rFonts w:ascii="Calibri" w:hAnsi="Calibri" w:eastAsia="宋体" w:cs="黑体"/>
                <w:color w:val="000000"/>
                <w:kern w:val="0"/>
                <w:sz w:val="15"/>
                <w:szCs w:val="15"/>
                <w:lang w:eastAsia="en-US"/>
              </w:rPr>
              <w:t>类</w:t>
            </w:r>
          </w:p>
        </w:tc>
        <w:tc>
          <w:tcPr>
            <w:tcW w:w="2066" w:type="dxa"/>
            <w:tcBorders>
              <w:top w:val="single" w:color="000000" w:sz="4" w:space="0"/>
              <w:left w:val="single" w:color="000000" w:sz="4" w:space="0"/>
              <w:bottom w:val="single" w:color="000000" w:sz="4" w:space="0"/>
              <w:right w:val="single" w:color="000000" w:sz="4" w:space="0"/>
            </w:tcBorders>
            <w:vAlign w:val="center"/>
          </w:tcPr>
          <w:p>
            <w:pPr>
              <w:spacing w:line="262" w:lineRule="exact"/>
              <w:ind w:left="6"/>
              <w:jc w:val="center"/>
              <w:rPr>
                <w:rFonts w:ascii="Calibri" w:hAnsi="Calibri" w:eastAsia="宋体" w:cs="黑体"/>
                <w:color w:val="000000"/>
                <w:kern w:val="0"/>
                <w:sz w:val="15"/>
                <w:szCs w:val="15"/>
                <w:lang w:eastAsia="en-US"/>
              </w:rPr>
            </w:pPr>
            <w:r>
              <w:rPr>
                <w:rFonts w:hint="eastAsia" w:ascii="Calibri" w:hAnsi="Calibri" w:eastAsia="宋体" w:cs="宋体"/>
                <w:color w:val="000000"/>
                <w:kern w:val="0"/>
                <w:sz w:val="15"/>
                <w:szCs w:val="15"/>
                <w:lang w:eastAsia="en-US"/>
              </w:rPr>
              <w:t>Ⅱ</w:t>
            </w:r>
            <w:r>
              <w:rPr>
                <w:rFonts w:ascii="Calibri" w:hAnsi="Calibri" w:eastAsia="宋体" w:cs="黑体"/>
                <w:color w:val="000000"/>
                <w:kern w:val="0"/>
                <w:sz w:val="15"/>
                <w:szCs w:val="15"/>
                <w:lang w:eastAsia="en-US"/>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6" w:hRule="exac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甲醛</w:t>
            </w:r>
          </w:p>
        </w:tc>
        <w:tc>
          <w:tcPr>
            <w:tcW w:w="206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≥60</w:t>
            </w:r>
          </w:p>
        </w:tc>
        <w:tc>
          <w:tcPr>
            <w:tcW w:w="206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4" w:hRule="exact"/>
          <w:jc w:val="center"/>
        </w:trPr>
        <w:tc>
          <w:tcPr>
            <w:tcW w:w="175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甲苯</w:t>
            </w:r>
          </w:p>
        </w:tc>
        <w:tc>
          <w:tcPr>
            <w:tcW w:w="206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≥20</w:t>
            </w:r>
          </w:p>
        </w:tc>
        <w:tc>
          <w:tcPr>
            <w:tcW w:w="206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≥30</w:t>
            </w:r>
          </w:p>
        </w:tc>
      </w:tr>
    </w:tbl>
    <w:p>
      <w:pPr>
        <w:jc w:val="center"/>
        <w:rPr>
          <w:rFonts w:cs="宋体"/>
          <w:color w:val="000000"/>
          <w:szCs w:val="21"/>
        </w:rPr>
      </w:pPr>
      <w:r>
        <w:rPr>
          <w:rFonts w:eastAsia="黑体"/>
          <w:bCs/>
          <w:color w:val="000000"/>
          <w:sz w:val="18"/>
          <w:szCs w:val="18"/>
        </w:rPr>
        <w:t>表</w:t>
      </w:r>
      <w:r>
        <w:rPr>
          <w:rFonts w:hint="eastAsia" w:eastAsia="黑体"/>
          <w:bCs/>
          <w:color w:val="000000"/>
          <w:sz w:val="18"/>
          <w:szCs w:val="18"/>
        </w:rPr>
        <w:t xml:space="preserve">5.2.2-5  </w:t>
      </w:r>
      <w:r>
        <w:rPr>
          <w:rFonts w:eastAsia="黑体"/>
          <w:bCs/>
          <w:color w:val="000000"/>
          <w:sz w:val="18"/>
          <w:szCs w:val="18"/>
        </w:rPr>
        <w:t>产品调湿功能要求</w:t>
      </w:r>
    </w:p>
    <w:tbl>
      <w:tblPr>
        <w:tblStyle w:val="147"/>
        <w:tblW w:w="58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01"/>
        <w:gridCol w:w="1517"/>
        <w:gridCol w:w="992"/>
        <w:gridCol w:w="992"/>
        <w:gridCol w:w="992"/>
        <w:gridCol w:w="9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jc w:val="center"/>
        </w:trPr>
        <w:tc>
          <w:tcPr>
            <w:tcW w:w="40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序号</w:t>
            </w:r>
          </w:p>
        </w:tc>
        <w:tc>
          <w:tcPr>
            <w:tcW w:w="250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项目</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宋体" w:hAnsi="宋体" w:eastAsia="宋体" w:cs="宋体"/>
                <w:color w:val="000000"/>
                <w:kern w:val="0"/>
                <w:sz w:val="15"/>
                <w:szCs w:val="15"/>
                <w:lang w:eastAsia="en-US"/>
              </w:rPr>
              <w:t>Ⅰ</w:t>
            </w:r>
            <w:r>
              <w:rPr>
                <w:rFonts w:ascii="Calibri" w:hAnsi="Calibri" w:eastAsia="宋体" w:cs="黑体"/>
                <w:color w:val="000000"/>
                <w:kern w:val="0"/>
                <w:sz w:val="15"/>
                <w:szCs w:val="15"/>
                <w:lang w:eastAsia="en-US"/>
              </w:rPr>
              <w:t>类</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宋体" w:hAnsi="宋体" w:eastAsia="宋体" w:cs="宋体"/>
                <w:color w:val="000000"/>
                <w:kern w:val="0"/>
                <w:sz w:val="15"/>
                <w:szCs w:val="15"/>
                <w:lang w:eastAsia="en-US"/>
              </w:rPr>
              <w:t>Ⅱ</w:t>
            </w:r>
            <w:r>
              <w:rPr>
                <w:rFonts w:ascii="Calibri" w:hAnsi="Calibri" w:eastAsia="宋体" w:cs="黑体"/>
                <w:color w:val="000000"/>
                <w:kern w:val="0"/>
                <w:sz w:val="15"/>
                <w:szCs w:val="15"/>
                <w:lang w:eastAsia="en-US"/>
              </w:rPr>
              <w:t>类</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hint="eastAsia" w:ascii="宋体" w:hAnsi="宋体" w:eastAsia="宋体" w:cs="宋体"/>
                <w:color w:val="000000"/>
                <w:kern w:val="0"/>
                <w:sz w:val="15"/>
                <w:szCs w:val="15"/>
                <w:lang w:eastAsia="en-US"/>
              </w:rPr>
              <w:t>Ⅲ</w:t>
            </w:r>
            <w:r>
              <w:rPr>
                <w:rFonts w:ascii="Calibri" w:hAnsi="Calibri" w:eastAsia="宋体" w:cs="黑体"/>
                <w:color w:val="000000"/>
                <w:kern w:val="0"/>
                <w:sz w:val="15"/>
                <w:szCs w:val="15"/>
                <w:lang w:eastAsia="en-US"/>
              </w:rPr>
              <w:t>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exact"/>
          <w:jc w:val="center"/>
        </w:trPr>
        <w:tc>
          <w:tcPr>
            <w:tcW w:w="401"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w:t>
            </w:r>
          </w:p>
        </w:tc>
        <w:tc>
          <w:tcPr>
            <w:tcW w:w="1517" w:type="dxa"/>
            <w:vMerge w:val="restart"/>
            <w:tcBorders>
              <w:top w:val="single" w:color="000000" w:sz="4" w:space="0"/>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吸湿量W</w:t>
            </w:r>
            <w:r>
              <w:rPr>
                <w:rFonts w:ascii="Calibri" w:hAnsi="Calibri" w:eastAsia="宋体" w:cs="黑体"/>
                <w:color w:val="000000"/>
                <w:kern w:val="0"/>
                <w:sz w:val="15"/>
                <w:szCs w:val="15"/>
                <w:vertAlign w:val="subscript"/>
                <w:lang w:eastAsia="en-US"/>
              </w:rPr>
              <w:t>a</w:t>
            </w:r>
            <w:r>
              <w:rPr>
                <w:rFonts w:ascii="Calibri" w:hAnsi="Calibri" w:eastAsia="宋体" w:cs="黑体"/>
                <w:color w:val="000000"/>
                <w:kern w:val="0"/>
                <w:sz w:val="15"/>
                <w:szCs w:val="15"/>
                <w:lang w:eastAsia="en-US"/>
              </w:rPr>
              <w:t>/（1×10</w:t>
            </w:r>
            <w:r>
              <w:rPr>
                <w:rFonts w:ascii="Calibri" w:hAnsi="Calibri" w:eastAsia="宋体" w:cs="黑体"/>
                <w:color w:val="000000"/>
                <w:kern w:val="0"/>
                <w:sz w:val="15"/>
                <w:szCs w:val="15"/>
                <w:vertAlign w:val="superscript"/>
                <w:lang w:eastAsia="en-US"/>
              </w:rPr>
              <w:t>-3</w:t>
            </w:r>
            <w:r>
              <w:rPr>
                <w:rFonts w:ascii="Calibri" w:hAnsi="Calibri" w:eastAsia="宋体" w:cs="黑体"/>
                <w:color w:val="000000"/>
                <w:kern w:val="0"/>
                <w:sz w:val="15"/>
                <w:szCs w:val="15"/>
                <w:lang w:eastAsia="en-US"/>
              </w:rPr>
              <w:t>kg/m</w:t>
            </w:r>
            <w:r>
              <w:rPr>
                <w:rFonts w:ascii="Calibri" w:hAnsi="Calibri" w:eastAsia="宋体" w:cs="黑体"/>
                <w:color w:val="000000"/>
                <w:kern w:val="0"/>
                <w:sz w:val="15"/>
                <w:szCs w:val="15"/>
                <w:vertAlign w:val="superscript"/>
                <w:lang w:eastAsia="en-US"/>
              </w:rPr>
              <w:t>2</w:t>
            </w:r>
            <w:r>
              <w:rPr>
                <w:rFonts w:ascii="Calibri" w:hAnsi="Calibri" w:eastAsia="宋体" w:cs="黑体"/>
                <w:color w:val="000000"/>
                <w:kern w:val="0"/>
                <w:sz w:val="15"/>
                <w:szCs w:val="15"/>
                <w:lang w:eastAsia="en-US"/>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3h</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≥20</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0" w:hRule="exact"/>
          <w:jc w:val="center"/>
        </w:trPr>
        <w:tc>
          <w:tcPr>
            <w:tcW w:w="401"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517"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6h</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6"/>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≥27</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jc w:val="center"/>
        </w:trPr>
        <w:tc>
          <w:tcPr>
            <w:tcW w:w="401"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517" w:type="dxa"/>
            <w:vMerge w:val="continue"/>
            <w:tcBorders>
              <w:left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12h</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6"/>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≥35</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30" w:hRule="exact"/>
          <w:jc w:val="center"/>
        </w:trPr>
        <w:tc>
          <w:tcPr>
            <w:tcW w:w="401"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1517" w:type="dxa"/>
            <w:vMerge w:val="continue"/>
            <w:tcBorders>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24h</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0"/>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≥40</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before="19"/>
              <w:ind w:right="17"/>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jc w:val="center"/>
        </w:trPr>
        <w:tc>
          <w:tcPr>
            <w:tcW w:w="40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w:t>
            </w:r>
          </w:p>
        </w:tc>
        <w:tc>
          <w:tcPr>
            <w:tcW w:w="151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放湿量W</w:t>
            </w:r>
            <w:r>
              <w:rPr>
                <w:rFonts w:ascii="Calibri" w:hAnsi="Calibri" w:eastAsia="宋体" w:cs="黑体"/>
                <w:color w:val="000000"/>
                <w:kern w:val="0"/>
                <w:sz w:val="15"/>
                <w:szCs w:val="15"/>
                <w:vertAlign w:val="subscript"/>
                <w:lang w:eastAsia="en-US"/>
              </w:rPr>
              <w:t>b</w:t>
            </w:r>
            <w:r>
              <w:rPr>
                <w:rFonts w:ascii="Calibri" w:hAnsi="Calibri" w:eastAsia="宋体" w:cs="黑体"/>
                <w:color w:val="000000"/>
                <w:kern w:val="0"/>
                <w:sz w:val="15"/>
                <w:szCs w:val="15"/>
                <w:lang w:eastAsia="en-US"/>
              </w:rPr>
              <w:t>/（1×10</w:t>
            </w:r>
            <w:r>
              <w:rPr>
                <w:rFonts w:ascii="Calibri" w:hAnsi="Calibri" w:eastAsia="宋体" w:cs="黑体"/>
                <w:color w:val="000000"/>
                <w:kern w:val="0"/>
                <w:sz w:val="15"/>
                <w:szCs w:val="15"/>
                <w:vertAlign w:val="superscript"/>
                <w:lang w:eastAsia="en-US"/>
              </w:rPr>
              <w:t>-3</w:t>
            </w:r>
            <w:r>
              <w:rPr>
                <w:rFonts w:ascii="Calibri" w:hAnsi="Calibri" w:eastAsia="宋体" w:cs="黑体"/>
                <w:color w:val="000000"/>
                <w:kern w:val="0"/>
                <w:sz w:val="15"/>
                <w:szCs w:val="15"/>
                <w:lang w:eastAsia="en-US"/>
              </w:rPr>
              <w:t>kg/m</w:t>
            </w:r>
            <w:r>
              <w:rPr>
                <w:rFonts w:ascii="Calibri" w:hAnsi="Calibri" w:eastAsia="宋体" w:cs="黑体"/>
                <w:color w:val="000000"/>
                <w:kern w:val="0"/>
                <w:sz w:val="15"/>
                <w:szCs w:val="15"/>
                <w:vertAlign w:val="superscript"/>
                <w:lang w:eastAsia="en-US"/>
              </w:rPr>
              <w:t>2</w:t>
            </w:r>
            <w:r>
              <w:rPr>
                <w:rFonts w:ascii="Calibri" w:hAnsi="Calibri" w:eastAsia="宋体" w:cs="黑体"/>
                <w:color w:val="000000"/>
                <w:kern w:val="0"/>
                <w:sz w:val="15"/>
                <w:szCs w:val="15"/>
                <w:lang w:eastAsia="en-US"/>
              </w:rPr>
              <w:t>）</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24h</w:t>
            </w:r>
          </w:p>
        </w:tc>
        <w:tc>
          <w:tcPr>
            <w:tcW w:w="2976"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W</w:t>
            </w:r>
            <w:r>
              <w:rPr>
                <w:rFonts w:ascii="Calibri" w:hAnsi="Calibri" w:eastAsia="宋体" w:cs="黑体"/>
                <w:color w:val="000000"/>
                <w:kern w:val="0"/>
                <w:sz w:val="15"/>
                <w:szCs w:val="15"/>
                <w:vertAlign w:val="subscript"/>
                <w:lang w:eastAsia="en-US"/>
              </w:rPr>
              <w:t>b</w:t>
            </w:r>
            <w:r>
              <w:rPr>
                <w:rFonts w:ascii="Calibri" w:hAnsi="Calibri" w:eastAsia="宋体" w:cs="黑体"/>
                <w:color w:val="000000"/>
                <w:kern w:val="0"/>
                <w:sz w:val="15"/>
                <w:szCs w:val="15"/>
                <w:lang w:eastAsia="en-US"/>
              </w:rPr>
              <w:t>≥W</w:t>
            </w:r>
            <w:r>
              <w:rPr>
                <w:rFonts w:ascii="Calibri" w:hAnsi="Calibri" w:eastAsia="宋体" w:cs="黑体"/>
                <w:color w:val="000000"/>
                <w:kern w:val="0"/>
                <w:sz w:val="15"/>
                <w:szCs w:val="15"/>
                <w:vertAlign w:val="subscript"/>
                <w:lang w:eastAsia="en-US"/>
              </w:rPr>
              <w:t>a</w:t>
            </w:r>
            <w:r>
              <w:rPr>
                <w:rFonts w:ascii="Calibri" w:hAnsi="Calibri" w:eastAsia="宋体" w:cs="黑体"/>
                <w:color w:val="000000"/>
                <w:kern w:val="0"/>
                <w:sz w:val="15"/>
                <w:szCs w:val="15"/>
                <w:lang w:eastAsia="en-US"/>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jc w:val="center"/>
        </w:trPr>
        <w:tc>
          <w:tcPr>
            <w:tcW w:w="40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3</w:t>
            </w:r>
          </w:p>
        </w:tc>
        <w:tc>
          <w:tcPr>
            <w:tcW w:w="250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ascii="Calibri" w:hAnsi="Calibri" w:eastAsia="宋体" w:cs="黑体"/>
                <w:color w:val="000000"/>
                <w:kern w:val="0"/>
                <w:sz w:val="15"/>
                <w:szCs w:val="15"/>
                <w:lang w:eastAsia="zh-CN"/>
              </w:rPr>
              <w:t>体积含湿量比率</w:t>
            </w:r>
            <w:r>
              <w:rPr>
                <w:rFonts w:ascii="Calibri" w:hAnsi="Calibri" w:eastAsia="宋体" w:cs="黑体"/>
                <w:color w:val="000000"/>
                <w:kern w:val="0"/>
                <w:sz w:val="15"/>
                <w:szCs w:val="15"/>
                <w:lang w:eastAsia="en-US"/>
              </w:rPr>
              <w:t>Δω</w:t>
            </w:r>
            <w:r>
              <w:rPr>
                <w:rFonts w:ascii="Calibri" w:hAnsi="Calibri" w:eastAsia="宋体" w:cs="黑体"/>
                <w:color w:val="000000"/>
                <w:kern w:val="0"/>
                <w:sz w:val="15"/>
                <w:szCs w:val="15"/>
                <w:lang w:eastAsia="zh-CN"/>
              </w:rPr>
              <w:t>/[（kg/m³）/%]</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≥0.12</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≥0.19</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0" w:hRule="exact"/>
          <w:jc w:val="center"/>
        </w:trPr>
        <w:tc>
          <w:tcPr>
            <w:tcW w:w="401"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4</w:t>
            </w:r>
          </w:p>
        </w:tc>
        <w:tc>
          <w:tcPr>
            <w:tcW w:w="2509"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zh-CN"/>
              </w:rPr>
            </w:pPr>
            <w:r>
              <w:rPr>
                <w:rFonts w:ascii="Calibri" w:hAnsi="Calibri" w:eastAsia="宋体" w:cs="黑体"/>
                <w:color w:val="000000"/>
                <w:kern w:val="0"/>
                <w:sz w:val="15"/>
                <w:szCs w:val="15"/>
                <w:lang w:eastAsia="zh-CN"/>
              </w:rPr>
              <w:t>平均体积含湿量</w:t>
            </w:r>
            <w:r>
              <w:rPr>
                <w:rFonts w:ascii="Calibri" w:hAnsi="Calibri" w:eastAsia="宋体" w:cs="黑体"/>
                <w:color w:val="000000"/>
                <w:kern w:val="0"/>
                <w:sz w:val="15"/>
                <w:szCs w:val="15"/>
                <w:lang w:eastAsia="en-US"/>
              </w:rPr>
              <w:t>ω</w:t>
            </w:r>
            <w:r>
              <w:rPr>
                <w:rFonts w:ascii="Calibri" w:hAnsi="Calibri" w:eastAsia="宋体" w:cs="黑体"/>
                <w:color w:val="000000"/>
                <w:kern w:val="0"/>
                <w:sz w:val="15"/>
                <w:szCs w:val="15"/>
                <w:lang w:eastAsia="zh-CN"/>
              </w:rPr>
              <w:t>（kg/m³）</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≥5</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≥8</w:t>
            </w:r>
          </w:p>
        </w:tc>
        <w:tc>
          <w:tcPr>
            <w:tcW w:w="99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黑体"/>
                <w:color w:val="000000"/>
                <w:kern w:val="0"/>
                <w:sz w:val="15"/>
                <w:szCs w:val="15"/>
                <w:lang w:eastAsia="en-US"/>
              </w:rPr>
            </w:pPr>
            <w:r>
              <w:rPr>
                <w:rFonts w:ascii="Calibri" w:hAnsi="Calibri" w:eastAsia="宋体" w:cs="黑体"/>
                <w:color w:val="000000"/>
                <w:kern w:val="0"/>
                <w:sz w:val="15"/>
                <w:szCs w:val="15"/>
                <w:lang w:eastAsia="en-US"/>
              </w:rPr>
              <w:t>≥11</w:t>
            </w:r>
          </w:p>
        </w:tc>
      </w:tr>
    </w:tbl>
    <w:p>
      <w:pPr>
        <w:ind w:firstLine="375" w:firstLineChars="250"/>
        <w:rPr>
          <w:color w:val="000000"/>
          <w:sz w:val="15"/>
          <w:szCs w:val="15"/>
        </w:rPr>
      </w:pPr>
      <w:r>
        <w:rPr>
          <w:rFonts w:hint="eastAsia"/>
          <w:color w:val="000000"/>
          <w:sz w:val="15"/>
          <w:szCs w:val="15"/>
        </w:rPr>
        <w:t>注：</w:t>
      </w:r>
      <w:r>
        <w:rPr>
          <w:color w:val="000000"/>
          <w:sz w:val="15"/>
          <w:szCs w:val="15"/>
        </w:rPr>
        <w:t>若24h的放湿量小于24h吸湿量的70%，应按照JC/T</w:t>
      </w:r>
      <w:r>
        <w:rPr>
          <w:rFonts w:hint="eastAsia"/>
          <w:color w:val="000000"/>
          <w:sz w:val="15"/>
          <w:szCs w:val="15"/>
        </w:rPr>
        <w:t xml:space="preserve"> </w:t>
      </w:r>
      <w:r>
        <w:rPr>
          <w:color w:val="000000"/>
          <w:sz w:val="15"/>
          <w:szCs w:val="15"/>
        </w:rPr>
        <w:t>2002-2009中附录C测试，放湿量单值都应大于20*10</w:t>
      </w:r>
      <w:r>
        <w:rPr>
          <w:rFonts w:hint="eastAsia"/>
          <w:color w:val="000000"/>
          <w:sz w:val="15"/>
          <w:szCs w:val="15"/>
        </w:rPr>
        <w:t>-3</w:t>
      </w:r>
      <w:r>
        <w:rPr>
          <w:color w:val="000000"/>
          <w:sz w:val="15"/>
          <w:szCs w:val="15"/>
        </w:rPr>
        <w:t>kg/</w:t>
      </w:r>
      <w:r>
        <w:rPr>
          <w:rFonts w:hint="eastAsia"/>
          <w:color w:val="000000"/>
          <w:sz w:val="15"/>
          <w:szCs w:val="15"/>
        </w:rPr>
        <w:t>m2。</w:t>
      </w:r>
    </w:p>
    <w:p>
      <w:pPr>
        <w:pStyle w:val="59"/>
        <w:spacing w:line="360" w:lineRule="exact"/>
        <w:ind w:firstLine="420"/>
        <w:rPr>
          <w:rFonts w:eastAsia="华文仿宋"/>
          <w:color w:val="000000"/>
          <w:sz w:val="21"/>
          <w:szCs w:val="20"/>
        </w:rPr>
      </w:pPr>
      <w:r>
        <w:rPr>
          <w:rFonts w:eastAsia="华文仿宋"/>
          <w:color w:val="000000"/>
          <w:sz w:val="21"/>
        </w:rPr>
        <w:t>本条评价方法为：评价查阅材料进场清单与相应的材料特殊功能检测报告，并现场核实。</w:t>
      </w:r>
    </w:p>
    <w:p>
      <w:pPr>
        <w:pStyle w:val="59"/>
        <w:spacing w:line="360" w:lineRule="exact"/>
        <w:ind w:firstLine="0" w:firstLineChars="0"/>
        <w:rPr>
          <w:rStyle w:val="52"/>
          <w:rFonts w:eastAsia="仿宋"/>
          <w:b/>
          <w:color w:val="000000"/>
          <w:sz w:val="21"/>
          <w:szCs w:val="21"/>
          <w:u w:val="none"/>
        </w:rPr>
      </w:pPr>
      <w:bookmarkStart w:id="109" w:name="_Toc324771002"/>
      <w:bookmarkStart w:id="110" w:name="_Toc324771000"/>
      <w:r>
        <w:rPr>
          <w:rStyle w:val="52"/>
          <w:rFonts w:hint="eastAsia" w:eastAsia="仿宋"/>
          <w:b/>
          <w:color w:val="000000"/>
          <w:sz w:val="21"/>
          <w:szCs w:val="21"/>
          <w:u w:val="none"/>
        </w:rPr>
        <w:t>5.2.3</w:t>
      </w:r>
      <w:r>
        <w:rPr>
          <w:rStyle w:val="52"/>
          <w:rFonts w:hint="eastAsia" w:eastAsia="仿宋"/>
          <w:color w:val="000000"/>
          <w:sz w:val="21"/>
          <w:u w:val="none"/>
        </w:rPr>
        <w:t xml:space="preserve"> </w:t>
      </w:r>
      <w:r>
        <w:rPr>
          <w:rStyle w:val="52"/>
          <w:rFonts w:hint="eastAsia" w:eastAsia="仿宋"/>
          <w:b/>
          <w:color w:val="000000"/>
          <w:sz w:val="21"/>
          <w:szCs w:val="21"/>
          <w:u w:val="none"/>
        </w:rPr>
        <w:t xml:space="preserve"> </w:t>
      </w:r>
      <w:r>
        <w:rPr>
          <w:rStyle w:val="52"/>
          <w:rFonts w:eastAsia="宋体"/>
          <w:color w:val="000000"/>
          <w:sz w:val="21"/>
          <w:szCs w:val="21"/>
          <w:u w:val="none"/>
        </w:rPr>
        <w:t>对室内主要污染源材料的有害物质释放进行</w:t>
      </w:r>
      <w:r>
        <w:rPr>
          <w:rStyle w:val="52"/>
          <w:rFonts w:hint="eastAsia" w:eastAsia="宋体"/>
          <w:color w:val="000000"/>
          <w:sz w:val="21"/>
          <w:szCs w:val="21"/>
          <w:u w:val="none"/>
        </w:rPr>
        <w:t>复检</w:t>
      </w:r>
      <w:r>
        <w:rPr>
          <w:rStyle w:val="52"/>
          <w:rFonts w:eastAsia="宋体"/>
          <w:color w:val="000000"/>
          <w:sz w:val="21"/>
          <w:szCs w:val="21"/>
          <w:u w:val="none"/>
        </w:rPr>
        <w:t>，核算甲醛和TVOC污染综合释放率，评价最高分值为15分，并按表5.2.3的规则评分。</w:t>
      </w:r>
    </w:p>
    <w:p>
      <w:pPr>
        <w:pStyle w:val="59"/>
        <w:spacing w:line="360" w:lineRule="exact"/>
        <w:ind w:firstLine="0" w:firstLineChars="0"/>
        <w:jc w:val="center"/>
        <w:rPr>
          <w:rFonts w:eastAsia="黑体" w:cs="黑体"/>
          <w:bCs/>
          <w:color w:val="000000"/>
          <w:sz w:val="18"/>
          <w:szCs w:val="18"/>
        </w:rPr>
      </w:pPr>
      <w:r>
        <w:rPr>
          <w:rFonts w:hint="eastAsia" w:eastAsia="黑体" w:cs="黑体"/>
          <w:bCs/>
          <w:color w:val="000000"/>
          <w:sz w:val="18"/>
          <w:szCs w:val="18"/>
        </w:rPr>
        <w:t>表5.2.3  材料污染综合释放率评分规则</w:t>
      </w:r>
    </w:p>
    <w:tbl>
      <w:tblPr>
        <w:tblStyle w:val="55"/>
        <w:tblW w:w="588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2358"/>
        <w:gridCol w:w="2358"/>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4716"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color w:val="000000"/>
                <w:sz w:val="15"/>
                <w:szCs w:val="15"/>
              </w:rPr>
              <w:t>168h释放率</w:t>
            </w:r>
            <w:r>
              <w:rPr>
                <w:i/>
                <w:color w:val="000000"/>
                <w:sz w:val="15"/>
                <w:szCs w:val="15"/>
              </w:rPr>
              <w:t>E</w:t>
            </w:r>
            <w:r>
              <w:rPr>
                <w:rFonts w:hint="eastAsia"/>
                <w:i/>
                <w:color w:val="000000"/>
                <w:sz w:val="15"/>
                <w:szCs w:val="15"/>
              </w:rPr>
              <w:t>/</w:t>
            </w:r>
            <w:r>
              <w:rPr>
                <w:rFonts w:hint="eastAsia"/>
                <w:color w:val="000000"/>
                <w:sz w:val="15"/>
                <w:szCs w:val="15"/>
              </w:rPr>
              <w:t>[mg/(m</w:t>
            </w:r>
            <w:r>
              <w:rPr>
                <w:rFonts w:hint="eastAsia"/>
                <w:color w:val="000000"/>
                <w:sz w:val="15"/>
                <w:szCs w:val="15"/>
                <w:vertAlign w:val="superscript"/>
              </w:rPr>
              <w:t>2</w:t>
            </w:r>
            <w:r>
              <w:rPr>
                <w:rFonts w:hint="eastAsia"/>
                <w:color w:val="000000"/>
                <w:sz w:val="15"/>
                <w:szCs w:val="15"/>
              </w:rPr>
              <w:t>·h)</w:t>
            </w:r>
            <w:r>
              <w:rPr>
                <w:color w:val="000000"/>
                <w:sz w:val="15"/>
                <w:szCs w:val="15"/>
              </w:rPr>
              <w:t>]</w:t>
            </w:r>
          </w:p>
        </w:tc>
        <w:tc>
          <w:tcPr>
            <w:tcW w:w="1170" w:type="dxa"/>
            <w:vMerge w:val="restart"/>
            <w:tcBorders>
              <w:top w:val="single" w:color="000000" w:sz="4" w:space="0"/>
              <w:left w:val="single" w:color="000000" w:sz="4" w:space="0"/>
              <w:right w:val="single" w:color="000000" w:sz="4" w:space="0"/>
            </w:tcBorders>
            <w:vAlign w:val="center"/>
          </w:tcPr>
          <w:p>
            <w:pPr>
              <w:spacing w:line="240" w:lineRule="exact"/>
              <w:jc w:val="center"/>
              <w:rPr>
                <w:color w:val="000000"/>
                <w:sz w:val="15"/>
                <w:szCs w:val="15"/>
              </w:rPr>
            </w:pPr>
            <w:r>
              <w:rPr>
                <w:color w:val="000000"/>
                <w:sz w:val="15"/>
                <w:szCs w:val="15"/>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78" w:hRule="exact"/>
        </w:trPr>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甲醛</w:t>
            </w:r>
          </w:p>
        </w:tc>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TVOC</w:t>
            </w:r>
          </w:p>
        </w:tc>
        <w:tc>
          <w:tcPr>
            <w:tcW w:w="1170" w:type="dxa"/>
            <w:vMerge w:val="continue"/>
            <w:tcBorders>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80" w:hRule="exact"/>
        </w:trPr>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0.05</w:t>
            </w:r>
            <w:r>
              <w:rPr>
                <w:rFonts w:hint="eastAsia"/>
                <w:bCs/>
                <w:color w:val="000000"/>
                <w:sz w:val="15"/>
                <w:szCs w:val="15"/>
              </w:rPr>
              <w:t>≤</w:t>
            </w:r>
            <w:r>
              <w:rPr>
                <w:i/>
                <w:color w:val="000000"/>
                <w:sz w:val="15"/>
                <w:szCs w:val="15"/>
              </w:rPr>
              <w:t>E</w:t>
            </w:r>
            <w:r>
              <w:rPr>
                <w:bCs/>
                <w:color w:val="000000"/>
                <w:sz w:val="15"/>
                <w:szCs w:val="15"/>
              </w:rPr>
              <w:t>＜</w:t>
            </w:r>
            <w:r>
              <w:rPr>
                <w:rFonts w:hint="eastAsia"/>
                <w:bCs/>
                <w:color w:val="000000"/>
                <w:sz w:val="15"/>
                <w:szCs w:val="15"/>
              </w:rPr>
              <w:t>0.12</w:t>
            </w:r>
          </w:p>
        </w:tc>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0.4</w:t>
            </w:r>
            <w:r>
              <w:rPr>
                <w:rFonts w:hint="eastAsia"/>
                <w:bCs/>
                <w:color w:val="000000"/>
                <w:sz w:val="15"/>
                <w:szCs w:val="15"/>
              </w:rPr>
              <w:t>≤</w:t>
            </w:r>
            <w:r>
              <w:rPr>
                <w:i/>
                <w:color w:val="000000"/>
                <w:sz w:val="15"/>
                <w:szCs w:val="15"/>
              </w:rPr>
              <w:t>E</w:t>
            </w:r>
            <w:r>
              <w:rPr>
                <w:bCs/>
                <w:color w:val="000000"/>
                <w:sz w:val="15"/>
                <w:szCs w:val="15"/>
              </w:rPr>
              <w:t>＜</w:t>
            </w:r>
            <w:r>
              <w:rPr>
                <w:rFonts w:hint="eastAsia"/>
                <w:bCs/>
                <w:color w:val="000000"/>
                <w:sz w:val="15"/>
                <w:szCs w:val="15"/>
              </w:rPr>
              <w:t>0.6</w:t>
            </w:r>
          </w:p>
        </w:tc>
        <w:tc>
          <w:tcPr>
            <w:tcW w:w="117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color w:val="000000"/>
                <w:sz w:val="15"/>
                <w:szCs w:val="15"/>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0.01</w:t>
            </w:r>
            <w:r>
              <w:rPr>
                <w:rFonts w:hint="eastAsia"/>
                <w:bCs/>
                <w:color w:val="000000"/>
                <w:sz w:val="15"/>
                <w:szCs w:val="15"/>
              </w:rPr>
              <w:t>≤</w:t>
            </w:r>
            <w:r>
              <w:rPr>
                <w:i/>
                <w:color w:val="000000"/>
                <w:sz w:val="15"/>
                <w:szCs w:val="15"/>
              </w:rPr>
              <w:t>E</w:t>
            </w:r>
            <w:r>
              <w:rPr>
                <w:bCs/>
                <w:color w:val="000000"/>
                <w:sz w:val="15"/>
                <w:szCs w:val="15"/>
              </w:rPr>
              <w:t>＜</w:t>
            </w:r>
            <w:r>
              <w:rPr>
                <w:rFonts w:hint="eastAsia"/>
                <w:bCs/>
                <w:color w:val="000000"/>
                <w:sz w:val="15"/>
                <w:szCs w:val="15"/>
              </w:rPr>
              <w:t>0.05</w:t>
            </w:r>
          </w:p>
        </w:tc>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rFonts w:hint="eastAsia"/>
                <w:color w:val="000000"/>
                <w:sz w:val="15"/>
                <w:szCs w:val="15"/>
              </w:rPr>
              <w:t>0.2</w:t>
            </w:r>
            <w:r>
              <w:rPr>
                <w:rFonts w:hint="eastAsia"/>
                <w:bCs/>
                <w:color w:val="000000"/>
                <w:sz w:val="15"/>
                <w:szCs w:val="15"/>
              </w:rPr>
              <w:t>≤</w:t>
            </w:r>
            <w:r>
              <w:rPr>
                <w:i/>
                <w:color w:val="000000"/>
                <w:sz w:val="15"/>
                <w:szCs w:val="15"/>
              </w:rPr>
              <w:t>E</w:t>
            </w:r>
            <w:r>
              <w:rPr>
                <w:bCs/>
                <w:color w:val="000000"/>
                <w:sz w:val="15"/>
                <w:szCs w:val="15"/>
              </w:rPr>
              <w:t>＜</w:t>
            </w:r>
            <w:r>
              <w:rPr>
                <w:rFonts w:hint="eastAsia"/>
                <w:bCs/>
                <w:color w:val="000000"/>
                <w:sz w:val="15"/>
                <w:szCs w:val="15"/>
              </w:rPr>
              <w:t>0.4</w:t>
            </w:r>
          </w:p>
        </w:tc>
        <w:tc>
          <w:tcPr>
            <w:tcW w:w="117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color w:val="000000"/>
                <w:sz w:val="15"/>
                <w:szCs w:val="15"/>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78" w:hRule="exact"/>
        </w:trPr>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i/>
                <w:color w:val="000000"/>
                <w:sz w:val="15"/>
                <w:szCs w:val="15"/>
              </w:rPr>
              <w:t>E</w:t>
            </w:r>
            <w:r>
              <w:rPr>
                <w:bCs/>
                <w:color w:val="000000"/>
                <w:sz w:val="15"/>
                <w:szCs w:val="15"/>
              </w:rPr>
              <w:t>＜</w:t>
            </w:r>
            <w:r>
              <w:rPr>
                <w:rFonts w:hint="eastAsia"/>
                <w:bCs/>
                <w:color w:val="000000"/>
                <w:sz w:val="15"/>
                <w:szCs w:val="15"/>
              </w:rPr>
              <w:t>0.01</w:t>
            </w:r>
          </w:p>
        </w:tc>
        <w:tc>
          <w:tcPr>
            <w:tcW w:w="2358"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i/>
                <w:color w:val="000000"/>
                <w:sz w:val="15"/>
                <w:szCs w:val="15"/>
              </w:rPr>
              <w:t>E</w:t>
            </w:r>
            <w:r>
              <w:rPr>
                <w:bCs/>
                <w:color w:val="000000"/>
                <w:sz w:val="15"/>
                <w:szCs w:val="15"/>
              </w:rPr>
              <w:t>＜</w:t>
            </w:r>
            <w:r>
              <w:rPr>
                <w:rFonts w:hint="eastAsia"/>
                <w:bCs/>
                <w:color w:val="000000"/>
                <w:sz w:val="15"/>
                <w:szCs w:val="15"/>
              </w:rPr>
              <w:t>0.2</w:t>
            </w:r>
          </w:p>
        </w:tc>
        <w:tc>
          <w:tcPr>
            <w:tcW w:w="1170" w:type="dxa"/>
            <w:tcBorders>
              <w:top w:val="single" w:color="000000" w:sz="4" w:space="0"/>
              <w:left w:val="single" w:color="000000" w:sz="4" w:space="0"/>
              <w:bottom w:val="single" w:color="000000" w:sz="4" w:space="0"/>
              <w:right w:val="single" w:color="000000" w:sz="4" w:space="0"/>
            </w:tcBorders>
            <w:vAlign w:val="center"/>
          </w:tcPr>
          <w:p>
            <w:pPr>
              <w:spacing w:line="240" w:lineRule="exact"/>
              <w:jc w:val="center"/>
              <w:rPr>
                <w:color w:val="000000"/>
                <w:sz w:val="15"/>
                <w:szCs w:val="15"/>
              </w:rPr>
            </w:pPr>
            <w:r>
              <w:rPr>
                <w:color w:val="000000"/>
                <w:sz w:val="15"/>
                <w:szCs w:val="15"/>
              </w:rPr>
              <w:t>15</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Fonts w:hint="eastAsia"/>
          <w:b/>
          <w:bCs/>
          <w:color w:val="000000"/>
          <w:szCs w:val="21"/>
        </w:rPr>
        <w:t xml:space="preserve">5.2.3  </w:t>
      </w:r>
      <w:r>
        <w:rPr>
          <w:rFonts w:hint="eastAsia" w:eastAsia="华文仿宋"/>
          <w:color w:val="000000"/>
        </w:rPr>
        <w:t>本条适用于各类民用建筑室内全装修的评价。</w:t>
      </w:r>
    </w:p>
    <w:p>
      <w:pPr>
        <w:ind w:firstLine="420" w:firstLineChars="200"/>
        <w:rPr>
          <w:rFonts w:eastAsia="华文仿宋"/>
          <w:color w:val="000000"/>
        </w:rPr>
      </w:pPr>
      <w:r>
        <w:rPr>
          <w:rFonts w:eastAsia="华文仿宋"/>
          <w:color w:val="000000"/>
        </w:rPr>
        <w:t>目前国家标准对主要污染源材料与有害物质检测的方法主要通过干燥器法、穿孔萃取法等方法检测其有害物质的含量，不能真实反映主要污染源材料与家具中的有害物质对室内空气影响程度，本条提出的对室内主要污染源材料和家具的有害物质释放进行抽查检测规定了其检测方法为环境检测试舱的检测方法。</w:t>
      </w:r>
    </w:p>
    <w:p>
      <w:pPr>
        <w:ind w:firstLine="420" w:firstLineChars="200"/>
        <w:rPr>
          <w:rFonts w:eastAsia="华文仿宋"/>
          <w:color w:val="000000"/>
        </w:rPr>
      </w:pPr>
      <w:r>
        <w:rPr>
          <w:rFonts w:eastAsia="华文仿宋"/>
          <w:color w:val="000000"/>
        </w:rPr>
        <w:t>环境检测试舱是模拟室内环境测试建筑材料和装修材料的污染物释放量的设备。</w:t>
      </w:r>
    </w:p>
    <w:p>
      <w:pPr>
        <w:ind w:firstLine="420" w:firstLineChars="200"/>
        <w:rPr>
          <w:rFonts w:eastAsia="华文仿宋"/>
          <w:color w:val="000000"/>
        </w:rPr>
      </w:pPr>
      <w:r>
        <w:rPr>
          <w:rFonts w:eastAsia="华文仿宋"/>
          <w:color w:val="000000"/>
        </w:rPr>
        <w:t>环境检测试舱检测法真实反映了主要污染源材料与家具中的有害物质对室内空气影响程度，通过此方法测试每一种主要污染源材料与家具的甲醛和TVOC释放率并通过以下计算方法计算室内装饰装修主要污染源材料和家具污染综合释放率。</w:t>
      </w:r>
    </w:p>
    <w:p>
      <w:pPr>
        <w:ind w:firstLine="420" w:firstLineChars="200"/>
        <w:rPr>
          <w:rFonts w:eastAsia="华文仿宋"/>
          <w:color w:val="000000"/>
        </w:rPr>
      </w:pPr>
      <w:r>
        <w:rPr>
          <w:rFonts w:eastAsia="华文仿宋"/>
          <w:color w:val="000000"/>
        </w:rPr>
        <w:t>室内装饰装修主要污染源材料和家具污染综合释放率按以下公式计算：</w:t>
      </w:r>
    </w:p>
    <w:p>
      <w:pPr>
        <w:jc w:val="center"/>
        <w:rPr>
          <w:rFonts w:eastAsia="华文仿宋"/>
          <w:color w:val="000000"/>
        </w:rPr>
      </w:pPr>
      <w:r>
        <w:rPr>
          <w:rFonts w:eastAsia="华文仿宋"/>
          <w:color w:val="000000"/>
        </w:rPr>
        <w:sym w:font="Symbol" w:char="F060"/>
      </w:r>
      <w:r>
        <w:rPr>
          <w:rFonts w:eastAsia="华文仿宋"/>
          <w:color w:val="000000"/>
        </w:rPr>
        <w:t>`</w:t>
      </w:r>
    </w:p>
    <w:p>
      <w:pPr>
        <w:rPr>
          <w:rFonts w:eastAsia="华文仿宋"/>
          <w:color w:val="000000"/>
        </w:rPr>
      </w:pPr>
      <w:r>
        <w:rPr>
          <w:rFonts w:eastAsia="华文仿宋"/>
          <w:color w:val="000000"/>
        </w:rPr>
        <w:t>式中：——甲醛和TVOC污染综合释放率</w:t>
      </w:r>
    </w:p>
    <w:p>
      <w:pPr>
        <w:ind w:firstLine="735" w:firstLineChars="350"/>
        <w:rPr>
          <w:rFonts w:eastAsia="华文仿宋"/>
          <w:color w:val="000000"/>
        </w:rPr>
      </w:pPr>
      <w:r>
        <w:rPr>
          <w:rFonts w:eastAsia="华文仿宋"/>
          <w:color w:val="000000"/>
        </w:rPr>
        <w:t>E</w:t>
      </w:r>
      <w:r>
        <w:rPr>
          <w:rFonts w:eastAsia="华文仿宋"/>
          <w:color w:val="000000"/>
          <w:vertAlign w:val="subscript"/>
        </w:rPr>
        <w:t>i</w:t>
      </w:r>
      <w:r>
        <w:rPr>
          <w:rFonts w:eastAsia="华文仿宋"/>
          <w:color w:val="000000"/>
        </w:rPr>
        <w:t>——第i种材料的甲醛或TVOC污染释放率；</w:t>
      </w:r>
    </w:p>
    <w:p>
      <w:pPr>
        <w:ind w:firstLine="735" w:firstLineChars="350"/>
        <w:rPr>
          <w:rFonts w:eastAsia="华文仿宋"/>
          <w:color w:val="000000"/>
        </w:rPr>
      </w:pPr>
      <w:r>
        <w:rPr>
          <w:rFonts w:eastAsia="华文仿宋"/>
          <w:color w:val="000000"/>
        </w:rPr>
        <w:t>S</w:t>
      </w:r>
      <w:r>
        <w:rPr>
          <w:rFonts w:eastAsia="华文仿宋"/>
          <w:color w:val="000000"/>
          <w:vertAlign w:val="subscript"/>
        </w:rPr>
        <w:t>i</w:t>
      </w:r>
      <w:r>
        <w:rPr>
          <w:rFonts w:eastAsia="华文仿宋"/>
          <w:color w:val="000000"/>
        </w:rPr>
        <w:t>——第i种材料的面积。其中涂料、胶粘剂的使用面积按：材料质量/350g</w:t>
      </w:r>
      <w:r>
        <w:rPr>
          <w:rFonts w:eastAsia="MS Mincho"/>
          <w:color w:val="000000"/>
        </w:rPr>
        <w:t>・</w:t>
      </w:r>
      <w:r>
        <w:rPr>
          <w:rFonts w:eastAsia="华文仿宋"/>
          <w:color w:val="000000"/>
        </w:rPr>
        <w:t>m</w:t>
      </w:r>
      <w:r>
        <w:rPr>
          <w:rFonts w:eastAsia="华文仿宋"/>
          <w:color w:val="000000"/>
          <w:vertAlign w:val="superscript"/>
        </w:rPr>
        <w:t>2</w:t>
      </w:r>
      <w:r>
        <w:rPr>
          <w:rFonts w:eastAsia="华文仿宋"/>
          <w:color w:val="000000"/>
        </w:rPr>
        <w:t>进行估算，其他类型材料按实际使用面积计。</w:t>
      </w:r>
    </w:p>
    <w:p>
      <w:pPr>
        <w:ind w:firstLine="420" w:firstLineChars="200"/>
        <w:rPr>
          <w:rFonts w:eastAsia="华文仿宋"/>
          <w:color w:val="000000"/>
        </w:rPr>
      </w:pPr>
      <w:r>
        <w:rPr>
          <w:rFonts w:eastAsia="华文仿宋"/>
          <w:color w:val="000000"/>
        </w:rPr>
        <w:t>主要抽查污染源材料如表</w:t>
      </w:r>
      <w:r>
        <w:rPr>
          <w:rFonts w:hint="eastAsia" w:eastAsia="华文仿宋"/>
          <w:color w:val="000000"/>
        </w:rPr>
        <w:t>5.2.3</w:t>
      </w:r>
      <w:r>
        <w:rPr>
          <w:rFonts w:eastAsia="华文仿宋"/>
          <w:color w:val="000000"/>
        </w:rPr>
        <w:t>所示。</w:t>
      </w:r>
    </w:p>
    <w:p>
      <w:pPr>
        <w:spacing w:before="64"/>
        <w:ind w:left="2"/>
        <w:jc w:val="center"/>
        <w:rPr>
          <w:rFonts w:cs="宋体"/>
          <w:color w:val="000000"/>
          <w:szCs w:val="21"/>
        </w:rPr>
      </w:pPr>
      <w:r>
        <w:rPr>
          <w:rFonts w:eastAsia="黑体"/>
          <w:bCs/>
          <w:color w:val="000000"/>
          <w:sz w:val="18"/>
          <w:szCs w:val="18"/>
        </w:rPr>
        <w:t>表</w:t>
      </w:r>
      <w:r>
        <w:rPr>
          <w:rFonts w:hint="eastAsia" w:eastAsia="黑体"/>
          <w:bCs/>
          <w:color w:val="000000"/>
          <w:sz w:val="18"/>
          <w:szCs w:val="18"/>
        </w:rPr>
        <w:t>5.2.3  主要抽查污染原材料</w:t>
      </w:r>
    </w:p>
    <w:tbl>
      <w:tblPr>
        <w:tblStyle w:val="149"/>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2000"/>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序号</w:t>
            </w:r>
          </w:p>
        </w:tc>
        <w:tc>
          <w:tcPr>
            <w:tcW w:w="200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材料类型</w:t>
            </w: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样品名称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w:t>
            </w:r>
          </w:p>
        </w:tc>
        <w:tc>
          <w:tcPr>
            <w:tcW w:w="2000"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人造板材</w:t>
            </w: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胶合板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2</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吸音板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3</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木饰面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4</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5</w:t>
            </w:r>
          </w:p>
        </w:tc>
        <w:tc>
          <w:tcPr>
            <w:tcW w:w="2000"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家具</w:t>
            </w: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办公卡座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6</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红木家具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7</w:t>
            </w:r>
          </w:p>
        </w:tc>
        <w:tc>
          <w:tcPr>
            <w:tcW w:w="200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地胶</w:t>
            </w: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橡胶地板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8</w:t>
            </w:r>
          </w:p>
        </w:tc>
        <w:tc>
          <w:tcPr>
            <w:tcW w:w="2000"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地毯</w:t>
            </w: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地毯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9</w:t>
            </w:r>
          </w:p>
        </w:tc>
        <w:tc>
          <w:tcPr>
            <w:tcW w:w="2000"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壁纸</w:t>
            </w: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壁纸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10</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防潮</w:t>
            </w:r>
            <w:r>
              <w:rPr>
                <w:rFonts w:hint="eastAsia" w:ascii="Calibri" w:hAnsi="Calibri" w:eastAsia="宋体" w:cs="黑体"/>
                <w:color w:val="000000"/>
                <w:kern w:val="2"/>
                <w:sz w:val="15"/>
                <w:szCs w:val="15"/>
              </w:rPr>
              <w:t>基膜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11</w:t>
            </w:r>
          </w:p>
        </w:tc>
        <w:tc>
          <w:tcPr>
            <w:tcW w:w="2000"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涂料</w:t>
            </w: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乳胶漆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12</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溶剂型涂料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13</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14</w:t>
            </w:r>
          </w:p>
        </w:tc>
        <w:tc>
          <w:tcPr>
            <w:tcW w:w="2000" w:type="dxa"/>
            <w:vMerge w:val="restart"/>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胶粘剂</w:t>
            </w: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白乳胶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15</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壁纸胶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16</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地</w:t>
            </w:r>
            <w:r>
              <w:rPr>
                <w:rFonts w:hint="eastAsia" w:ascii="Calibri" w:hAnsi="Calibri" w:eastAsia="宋体" w:cs="黑体"/>
                <w:color w:val="000000"/>
                <w:kern w:val="2"/>
                <w:sz w:val="15"/>
                <w:szCs w:val="15"/>
              </w:rPr>
              <w:t>地毯</w:t>
            </w:r>
            <w:r>
              <w:rPr>
                <w:rFonts w:ascii="Calibri" w:hAnsi="Calibri" w:eastAsia="宋体" w:cs="黑体"/>
                <w:color w:val="000000"/>
                <w:kern w:val="2"/>
                <w:sz w:val="15"/>
                <w:szCs w:val="15"/>
              </w:rPr>
              <w:t>胶粘剂(塑胶地板胶粘剂)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99"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17</w:t>
            </w:r>
          </w:p>
        </w:tc>
        <w:tc>
          <w:tcPr>
            <w:tcW w:w="2000" w:type="dxa"/>
            <w:vMerge w:val="continue"/>
            <w:vAlign w:val="center"/>
          </w:tcPr>
          <w:p>
            <w:pPr>
              <w:jc w:val="center"/>
              <w:rPr>
                <w:rFonts w:ascii="Calibri" w:hAnsi="Calibri" w:eastAsia="宋体" w:cs="黑体"/>
                <w:color w:val="000000"/>
                <w:kern w:val="2"/>
                <w:sz w:val="15"/>
                <w:szCs w:val="15"/>
              </w:rPr>
            </w:pPr>
          </w:p>
        </w:tc>
        <w:tc>
          <w:tcPr>
            <w:tcW w:w="1887" w:type="dxa"/>
            <w:vAlign w:val="center"/>
          </w:tcPr>
          <w:p>
            <w:pPr>
              <w:jc w:val="center"/>
              <w:rPr>
                <w:rFonts w:ascii="Calibri" w:hAnsi="Calibri" w:eastAsia="宋体" w:cs="黑体"/>
                <w:color w:val="000000"/>
                <w:kern w:val="2"/>
                <w:sz w:val="15"/>
                <w:szCs w:val="15"/>
              </w:rPr>
            </w:pPr>
            <w:r>
              <w:rPr>
                <w:rFonts w:hint="eastAsia" w:ascii="Calibri" w:hAnsi="Calibri" w:eastAsia="宋体" w:cs="黑体"/>
                <w:color w:val="000000"/>
                <w:kern w:val="2"/>
                <w:sz w:val="15"/>
                <w:szCs w:val="15"/>
              </w:rPr>
              <w:t>硅酮</w:t>
            </w:r>
            <w:r>
              <w:rPr>
                <w:rFonts w:ascii="Calibri" w:hAnsi="Calibri" w:eastAsia="宋体" w:cs="黑体"/>
                <w:color w:val="000000"/>
                <w:kern w:val="2"/>
                <w:sz w:val="15"/>
                <w:szCs w:val="15"/>
              </w:rPr>
              <w:t>结构密封胶</w:t>
            </w:r>
          </w:p>
        </w:tc>
      </w:tr>
    </w:tbl>
    <w:p>
      <w:pPr>
        <w:ind w:firstLine="420" w:firstLineChars="200"/>
        <w:rPr>
          <w:rFonts w:eastAsia="华文仿宋"/>
          <w:color w:val="000000"/>
        </w:rPr>
      </w:pPr>
      <w:r>
        <w:rPr>
          <w:rFonts w:eastAsia="华文仿宋"/>
          <w:color w:val="000000"/>
        </w:rPr>
        <w:t>装饰装修材料污染综合释放率是衡量材料对室内空气质量影响的综合考评指标，该指标真实反映了材料污染对室内空气质量的影响，有效避免了室内装饰装修过程中虽然每种材料污染参数均能达到标准要求，而室内空气质量却没能达到标准要求的尬困境。</w:t>
      </w:r>
    </w:p>
    <w:p>
      <w:pPr>
        <w:ind w:firstLine="420" w:firstLineChars="200"/>
        <w:rPr>
          <w:rFonts w:eastAsia="华文仿宋"/>
          <w:color w:val="000000"/>
        </w:rPr>
      </w:pPr>
      <w:r>
        <w:rPr>
          <w:rFonts w:eastAsia="华文仿宋"/>
          <w:color w:val="000000"/>
        </w:rPr>
        <w:t>装饰装修材料污染综合释放率的评价是基于室内装饰装修材料的污染释放率参数进行考核。</w:t>
      </w:r>
    </w:p>
    <w:p>
      <w:pPr>
        <w:widowControl/>
        <w:spacing w:line="360" w:lineRule="exact"/>
        <w:ind w:firstLine="420" w:firstLineChars="200"/>
        <w:rPr>
          <w:rStyle w:val="52"/>
          <w:rFonts w:eastAsia="华文仿宋"/>
          <w:b/>
          <w:color w:val="000000"/>
          <w:szCs w:val="21"/>
          <w:u w:val="none"/>
        </w:rPr>
      </w:pPr>
      <w:r>
        <w:rPr>
          <w:rFonts w:eastAsia="华文仿宋"/>
          <w:color w:val="000000"/>
        </w:rPr>
        <w:t>本条评价方法为：评价查阅材料进场清单与材料环境舱检测报告，并现场核实。</w:t>
      </w:r>
    </w:p>
    <w:p>
      <w:pPr>
        <w:widowControl/>
        <w:spacing w:line="360" w:lineRule="exact"/>
        <w:jc w:val="center"/>
        <w:rPr>
          <w:rStyle w:val="52"/>
          <w:b/>
          <w:color w:val="000000"/>
          <w:szCs w:val="21"/>
          <w:u w:val="none"/>
        </w:rPr>
      </w:pPr>
      <w:r>
        <w:rPr>
          <w:rFonts w:hint="eastAsia" w:cs="宋体"/>
          <w:color w:val="000000"/>
          <w:szCs w:val="21"/>
        </w:rPr>
        <w:t>Ⅱ  部品</w:t>
      </w:r>
    </w:p>
    <w:p>
      <w:pPr>
        <w:widowControl/>
        <w:spacing w:line="360" w:lineRule="exact"/>
        <w:rPr>
          <w:color w:val="000000"/>
        </w:rPr>
      </w:pPr>
      <w:r>
        <w:rPr>
          <w:rStyle w:val="52"/>
          <w:rFonts w:hint="eastAsia" w:eastAsia="仿宋"/>
          <w:b/>
          <w:color w:val="000000"/>
          <w:szCs w:val="21"/>
          <w:u w:val="none"/>
        </w:rPr>
        <w:t>5.2.</w:t>
      </w:r>
      <w:r>
        <w:rPr>
          <w:rStyle w:val="52"/>
          <w:rFonts w:eastAsia="仿宋"/>
          <w:b/>
          <w:color w:val="000000"/>
          <w:szCs w:val="21"/>
          <w:u w:val="none"/>
        </w:rPr>
        <w:t>4</w:t>
      </w:r>
      <w:r>
        <w:rPr>
          <w:rStyle w:val="52"/>
          <w:rFonts w:hint="eastAsia" w:eastAsia="仿宋"/>
          <w:b/>
          <w:color w:val="000000"/>
          <w:szCs w:val="21"/>
          <w:u w:val="none"/>
        </w:rPr>
        <w:t xml:space="preserve"> </w:t>
      </w:r>
      <w:r>
        <w:rPr>
          <w:rFonts w:hint="eastAsia"/>
          <w:color w:val="000000"/>
        </w:rPr>
        <w:t xml:space="preserve"> 采购选用环保性能好的部品，评价最高总分值为</w:t>
      </w:r>
      <w:r>
        <w:rPr>
          <w:color w:val="000000"/>
        </w:rPr>
        <w:t>10</w:t>
      </w:r>
      <w:r>
        <w:rPr>
          <w:rFonts w:hint="eastAsia"/>
          <w:color w:val="000000"/>
        </w:rPr>
        <w:t>分，并按下列规则分别评分并累计：</w:t>
      </w:r>
    </w:p>
    <w:p>
      <w:pPr>
        <w:widowControl/>
        <w:spacing w:line="360" w:lineRule="exact"/>
        <w:ind w:firstLine="422" w:firstLineChars="200"/>
        <w:rPr>
          <w:color w:val="000000"/>
        </w:rPr>
      </w:pPr>
      <w:r>
        <w:rPr>
          <w:rFonts w:hint="eastAsia"/>
          <w:b/>
          <w:color w:val="000000"/>
        </w:rPr>
        <w:t xml:space="preserve">1  </w:t>
      </w:r>
      <w:r>
        <w:rPr>
          <w:rFonts w:hint="eastAsia"/>
          <w:color w:val="000000"/>
        </w:rPr>
        <w:t>部品的环境性能满足现行国家标准《家具绿色设计评价规范》</w:t>
      </w:r>
      <w:r>
        <w:rPr>
          <w:color w:val="000000"/>
        </w:rPr>
        <w:t>GB/T26694</w:t>
      </w:r>
      <w:r>
        <w:rPr>
          <w:rFonts w:hint="eastAsia"/>
          <w:color w:val="000000"/>
        </w:rPr>
        <w:t>的规定要求，部品满足或获得</w:t>
      </w:r>
      <w:r>
        <w:rPr>
          <w:color w:val="000000"/>
        </w:rPr>
        <w:t>A</w:t>
      </w:r>
      <w:r>
        <w:rPr>
          <w:rFonts w:hint="eastAsia"/>
          <w:color w:val="000000"/>
        </w:rPr>
        <w:t>级绿色设计评价等级要求，得1分；满足或获得AA级绿色设计评价等级要求，得2分；满足或获得AAA等级要求，得3分；</w:t>
      </w:r>
    </w:p>
    <w:p>
      <w:pPr>
        <w:widowControl/>
        <w:spacing w:line="360" w:lineRule="exact"/>
        <w:ind w:firstLine="422" w:firstLineChars="200"/>
        <w:rPr>
          <w:color w:val="000000"/>
        </w:rPr>
      </w:pPr>
      <w:r>
        <w:rPr>
          <w:rFonts w:hint="eastAsia"/>
          <w:b/>
          <w:color w:val="000000"/>
        </w:rPr>
        <w:t>2</w:t>
      </w:r>
      <w:r>
        <w:rPr>
          <w:rFonts w:hint="eastAsia"/>
          <w:color w:val="000000"/>
        </w:rPr>
        <w:t xml:space="preserve">  部品性能指标符合现行行业标准《环境标志产品技术</w:t>
      </w:r>
    </w:p>
    <w:p>
      <w:pPr>
        <w:widowControl/>
        <w:spacing w:line="360" w:lineRule="exact"/>
        <w:rPr>
          <w:color w:val="000000"/>
        </w:rPr>
      </w:pPr>
      <w:r>
        <w:rPr>
          <w:rFonts w:hint="eastAsia"/>
          <w:color w:val="000000"/>
        </w:rPr>
        <w:t xml:space="preserve"> 要求  家具》HJ/T303的规定要求，得</w:t>
      </w:r>
      <w:r>
        <w:rPr>
          <w:color w:val="000000"/>
        </w:rPr>
        <w:t>2</w:t>
      </w:r>
      <w:r>
        <w:rPr>
          <w:rFonts w:hint="eastAsia"/>
          <w:color w:val="000000"/>
        </w:rPr>
        <w:t>分。</w:t>
      </w:r>
    </w:p>
    <w:p>
      <w:pPr>
        <w:ind w:firstLine="422" w:firstLineChars="200"/>
        <w:rPr>
          <w:color w:val="000000"/>
        </w:rPr>
      </w:pPr>
      <w:r>
        <w:rPr>
          <w:rFonts w:hint="eastAsia"/>
          <w:b/>
          <w:color w:val="000000"/>
        </w:rPr>
        <w:t>3</w:t>
      </w:r>
      <w:r>
        <w:rPr>
          <w:rFonts w:hint="eastAsia"/>
          <w:color w:val="000000"/>
        </w:rPr>
        <w:t xml:space="preserve">  </w:t>
      </w:r>
      <w:r>
        <w:rPr>
          <w:color w:val="000000"/>
        </w:rPr>
        <w:t>家具具有附加环境功能</w:t>
      </w:r>
      <w:r>
        <w:rPr>
          <w:rFonts w:hint="eastAsia"/>
          <w:color w:val="000000"/>
        </w:rPr>
        <w:t>，</w:t>
      </w:r>
      <w:r>
        <w:rPr>
          <w:color w:val="000000"/>
        </w:rPr>
        <w:t>具有1项附加环境功能</w:t>
      </w:r>
      <w:r>
        <w:rPr>
          <w:rFonts w:hint="eastAsia"/>
          <w:color w:val="000000"/>
        </w:rPr>
        <w:t>，</w:t>
      </w:r>
      <w:r>
        <w:rPr>
          <w:color w:val="000000"/>
        </w:rPr>
        <w:t>得1分</w:t>
      </w:r>
      <w:r>
        <w:rPr>
          <w:rFonts w:hint="eastAsia"/>
          <w:color w:val="000000"/>
        </w:rPr>
        <w:t>；</w:t>
      </w:r>
      <w:r>
        <w:rPr>
          <w:color w:val="000000"/>
        </w:rPr>
        <w:t>具有2项及以上功能</w:t>
      </w:r>
      <w:r>
        <w:rPr>
          <w:rFonts w:hint="eastAsia"/>
          <w:color w:val="000000"/>
        </w:rPr>
        <w:t>，</w:t>
      </w:r>
      <w:r>
        <w:rPr>
          <w:color w:val="000000"/>
        </w:rPr>
        <w:t>得2分</w:t>
      </w:r>
      <w:r>
        <w:rPr>
          <w:rFonts w:hint="eastAsia"/>
          <w:color w:val="000000"/>
        </w:rPr>
        <w:t>；</w:t>
      </w:r>
    </w:p>
    <w:p>
      <w:pPr>
        <w:ind w:firstLine="422" w:firstLineChars="200"/>
        <w:rPr>
          <w:color w:val="000000"/>
        </w:rPr>
      </w:pPr>
      <w:r>
        <w:rPr>
          <w:rFonts w:hint="eastAsia"/>
          <w:b/>
          <w:color w:val="000000"/>
        </w:rPr>
        <w:t>4</w:t>
      </w:r>
      <w:r>
        <w:rPr>
          <w:rFonts w:hint="eastAsia"/>
          <w:color w:val="000000"/>
        </w:rPr>
        <w:t xml:space="preserve">  家具产品的有害物质满足设计阶段室内污染预评估所规定的污染释放特性参数和要求，得3分。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rStyle w:val="52"/>
          <w:rFonts w:hint="eastAsia" w:eastAsia="仿宋"/>
          <w:b/>
          <w:color w:val="000000"/>
          <w:szCs w:val="21"/>
          <w:u w:val="none"/>
        </w:rPr>
        <w:t>5.2.</w:t>
      </w:r>
      <w:r>
        <w:rPr>
          <w:rStyle w:val="52"/>
          <w:rFonts w:eastAsia="仿宋"/>
          <w:b/>
          <w:color w:val="000000"/>
          <w:szCs w:val="21"/>
          <w:u w:val="none"/>
        </w:rPr>
        <w:t>4</w:t>
      </w:r>
      <w:r>
        <w:rPr>
          <w:rStyle w:val="52"/>
          <w:rFonts w:hint="eastAsia" w:eastAsia="仿宋"/>
          <w:b/>
          <w:color w:val="000000"/>
          <w:szCs w:val="21"/>
          <w:u w:val="none"/>
        </w:rPr>
        <w:t xml:space="preserve"> </w:t>
      </w:r>
      <w:r>
        <w:rPr>
          <w:rFonts w:hint="eastAsia"/>
          <w:color w:val="000000"/>
        </w:rPr>
        <w:t xml:space="preserve"> </w:t>
      </w:r>
      <w:r>
        <w:rPr>
          <w:rFonts w:hint="eastAsia" w:eastAsia="华文仿宋"/>
          <w:color w:val="000000"/>
        </w:rPr>
        <w:t>本条适用于各类民用建筑室内全装修的评价。</w:t>
      </w:r>
    </w:p>
    <w:p>
      <w:pPr>
        <w:ind w:firstLine="420" w:firstLineChars="200"/>
        <w:rPr>
          <w:rFonts w:eastAsia="华文仿宋"/>
          <w:color w:val="000000"/>
        </w:rPr>
      </w:pPr>
      <w:r>
        <w:rPr>
          <w:rFonts w:eastAsia="华文仿宋"/>
          <w:color w:val="000000"/>
        </w:rPr>
        <w:t>有害物质释放量超标的家具是室内空气污染最重要的污染源之一。家具所使用的油漆或涂料织物污染物释放超标，都可能导致家具对应污染物的释放超标，同时家具释放污染物的状况与生产工艺也密不可分，因此在家具生产过程中需要从源头“设计阶段”开始控制。</w:t>
      </w:r>
    </w:p>
    <w:p>
      <w:pPr>
        <w:ind w:firstLine="420" w:firstLineChars="200"/>
        <w:rPr>
          <w:rFonts w:eastAsia="华文仿宋"/>
          <w:color w:val="000000"/>
        </w:rPr>
      </w:pPr>
      <w:r>
        <w:rPr>
          <w:rFonts w:eastAsia="华文仿宋"/>
          <w:color w:val="000000"/>
        </w:rPr>
        <w:t>家具设计阶段从家具的“低污染、低毒、节能和使用要求”四项指标分别评价，评价结果根据《家具绿色设计评价规范》GB/T 26694—2011的规定要求确定家具的绿色性能。</w:t>
      </w:r>
    </w:p>
    <w:p>
      <w:pPr>
        <w:ind w:firstLine="420" w:firstLineChars="200"/>
        <w:rPr>
          <w:rFonts w:eastAsia="华文仿宋"/>
          <w:color w:val="000000"/>
        </w:rPr>
      </w:pPr>
      <w:r>
        <w:rPr>
          <w:rFonts w:eastAsia="华文仿宋"/>
          <w:color w:val="000000"/>
        </w:rPr>
        <w:t>家具产品具有附加环境功能是指家具所使用的板材或涂料具体抗菌、产生负离子、空气净化等功能，符合现行行业标准《抗菌涂料》HG/T 3950、《负离子功能涂料》HG/T 4109、《室内空气净化功能涂覆材料净化性能》JC/T 1074、《家具抗菌性能的评价》QB/T 4371的要求。</w:t>
      </w:r>
    </w:p>
    <w:p>
      <w:pPr>
        <w:ind w:firstLine="420" w:firstLineChars="200"/>
        <w:rPr>
          <w:rFonts w:eastAsia="华文仿宋"/>
          <w:color w:val="000000"/>
        </w:rPr>
      </w:pPr>
      <w:r>
        <w:rPr>
          <w:rFonts w:eastAsia="华文仿宋"/>
          <w:color w:val="000000"/>
        </w:rPr>
        <w:t>家具所释放的有害物质（包括甲醛、TVOC）是造成室内空气污染的一个重要因素。造成家具中有害物质释放水平较高的因素主要有：1）原材料污染物释放量本身不达标，包括板材、油漆中的TVOC、甲醛等释放超标，家具生产时胶粘剂中污染物超标；2）生产工艺不合理，包括板材不完全封边、油漆涂覆时形成内层“湿膜”导致污染物残留；3）原有国家标准的不完善，包括标准中限制的污染物不全面，限制不到位，检测方法不合理，不同标准间有冲突。材料、家具污染综合释放率等级划分见表</w:t>
      </w:r>
      <w:r>
        <w:rPr>
          <w:rFonts w:hint="eastAsia" w:eastAsia="华文仿宋"/>
          <w:color w:val="000000"/>
        </w:rPr>
        <w:t>5.2.16-1。</w:t>
      </w:r>
    </w:p>
    <w:p>
      <w:pPr>
        <w:spacing w:before="64"/>
        <w:ind w:left="2"/>
        <w:jc w:val="center"/>
        <w:rPr>
          <w:rFonts w:eastAsia="黑体"/>
          <w:bCs/>
          <w:color w:val="000000"/>
          <w:sz w:val="18"/>
          <w:szCs w:val="18"/>
        </w:rPr>
      </w:pPr>
      <w:r>
        <w:rPr>
          <w:rFonts w:hint="eastAsia" w:eastAsia="黑体"/>
          <w:bCs/>
          <w:color w:val="000000"/>
          <w:sz w:val="18"/>
          <w:szCs w:val="18"/>
        </w:rPr>
        <w:t>表5.2.16-5  材料、家具污染综合释放率等级划分</w:t>
      </w:r>
    </w:p>
    <w:tbl>
      <w:tblPr>
        <w:tblStyle w:val="150"/>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5"/>
        <w:gridCol w:w="156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vMerge w:val="restart"/>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材料、家具等级</w:t>
            </w:r>
          </w:p>
        </w:tc>
        <w:tc>
          <w:tcPr>
            <w:tcW w:w="3211" w:type="dxa"/>
            <w:gridSpan w:val="2"/>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168h释放率E[mg/（m</w:t>
            </w:r>
            <w:r>
              <w:rPr>
                <w:rFonts w:ascii="Calibri" w:hAnsi="Calibri" w:eastAsia="宋体" w:cs="黑体"/>
                <w:color w:val="000000"/>
                <w:kern w:val="2"/>
                <w:sz w:val="15"/>
                <w:szCs w:val="15"/>
                <w:vertAlign w:val="superscript"/>
              </w:rPr>
              <w:t>2</w:t>
            </w:r>
            <w:r>
              <w:rPr>
                <w:rFonts w:ascii="Calibri" w:hAnsi="Calibri" w:eastAsia="宋体" w:cs="黑体"/>
                <w:color w:val="000000"/>
                <w:kern w:val="2"/>
                <w:sz w:val="15"/>
                <w:szCs w:val="15"/>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vMerge w:val="continue"/>
            <w:vAlign w:val="center"/>
          </w:tcPr>
          <w:p>
            <w:pPr>
              <w:jc w:val="center"/>
              <w:rPr>
                <w:rFonts w:ascii="Calibri" w:hAnsi="Calibri" w:eastAsia="宋体" w:cs="黑体"/>
                <w:color w:val="000000"/>
                <w:kern w:val="2"/>
                <w:sz w:val="15"/>
                <w:szCs w:val="15"/>
              </w:rPr>
            </w:pPr>
          </w:p>
        </w:tc>
        <w:tc>
          <w:tcPr>
            <w:tcW w:w="156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甲醛</w:t>
            </w:r>
          </w:p>
        </w:tc>
        <w:tc>
          <w:tcPr>
            <w:tcW w:w="1643"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TVOC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vAlign w:val="center"/>
          </w:tcPr>
          <w:p>
            <w:pPr>
              <w:jc w:val="center"/>
              <w:rPr>
                <w:rFonts w:ascii="Calibri" w:hAnsi="Calibri" w:eastAsia="宋体" w:cs="黑体"/>
                <w:color w:val="000000"/>
                <w:kern w:val="2"/>
                <w:sz w:val="15"/>
                <w:szCs w:val="15"/>
              </w:rPr>
            </w:pPr>
            <w:r>
              <w:rPr>
                <w:rFonts w:ascii="Segoe UI Symbol" w:hAnsi="Segoe UI Symbol" w:eastAsia="宋体" w:cs="Segoe UI Symbol"/>
                <w:color w:val="000000"/>
                <w:kern w:val="2"/>
                <w:sz w:val="15"/>
                <w:szCs w:val="15"/>
              </w:rPr>
              <w:t>☆☆</w:t>
            </w:r>
          </w:p>
        </w:tc>
        <w:tc>
          <w:tcPr>
            <w:tcW w:w="156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0.05≤E&lt;</w:t>
            </w:r>
            <w:r>
              <w:rPr>
                <w:rFonts w:ascii="Calibri" w:hAnsi="Calibri" w:eastAsia="黑体" w:cs="黑体"/>
                <w:bCs/>
                <w:color w:val="000000"/>
                <w:kern w:val="2"/>
                <w:sz w:val="18"/>
                <w:szCs w:val="18"/>
              </w:rPr>
              <w:t>0.12</w:t>
            </w:r>
          </w:p>
        </w:tc>
        <w:tc>
          <w:tcPr>
            <w:tcW w:w="1643"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0.4≤E&lt;</w:t>
            </w:r>
            <w:r>
              <w:rPr>
                <w:rFonts w:ascii="Calibri" w:hAnsi="Calibri" w:eastAsia="黑体" w:cs="黑体"/>
                <w:bCs/>
                <w:color w:val="000000"/>
                <w:kern w:val="2"/>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vAlign w:val="center"/>
          </w:tcPr>
          <w:p>
            <w:pPr>
              <w:jc w:val="center"/>
              <w:rPr>
                <w:rFonts w:ascii="Calibri" w:hAnsi="Calibri" w:eastAsia="宋体" w:cs="黑体"/>
                <w:color w:val="000000"/>
                <w:kern w:val="2"/>
                <w:sz w:val="15"/>
                <w:szCs w:val="15"/>
              </w:rPr>
            </w:pPr>
            <w:r>
              <w:rPr>
                <w:rFonts w:ascii="Segoe UI Symbol" w:hAnsi="Segoe UI Symbol" w:eastAsia="宋体" w:cs="Segoe UI Symbol"/>
                <w:color w:val="000000"/>
                <w:kern w:val="2"/>
                <w:sz w:val="15"/>
                <w:szCs w:val="15"/>
              </w:rPr>
              <w:t>☆☆☆</w:t>
            </w:r>
          </w:p>
        </w:tc>
        <w:tc>
          <w:tcPr>
            <w:tcW w:w="156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0.01≤E&lt;</w:t>
            </w:r>
            <w:r>
              <w:rPr>
                <w:rFonts w:ascii="Calibri" w:hAnsi="Calibri" w:eastAsia="黑体" w:cs="黑体"/>
                <w:bCs/>
                <w:color w:val="000000"/>
                <w:kern w:val="2"/>
                <w:sz w:val="18"/>
                <w:szCs w:val="18"/>
              </w:rPr>
              <w:t>0.05</w:t>
            </w:r>
          </w:p>
        </w:tc>
        <w:tc>
          <w:tcPr>
            <w:tcW w:w="1643"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0.2≤E&lt;</w:t>
            </w:r>
            <w:r>
              <w:rPr>
                <w:rFonts w:ascii="Calibri" w:hAnsi="Calibri" w:eastAsia="黑体" w:cs="黑体"/>
                <w:bCs/>
                <w:color w:val="000000"/>
                <w:kern w:val="2"/>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75" w:type="dxa"/>
            <w:vAlign w:val="center"/>
          </w:tcPr>
          <w:p>
            <w:pPr>
              <w:jc w:val="center"/>
              <w:rPr>
                <w:rFonts w:ascii="Calibri" w:hAnsi="Calibri" w:eastAsia="宋体" w:cs="黑体"/>
                <w:color w:val="000000"/>
                <w:kern w:val="2"/>
                <w:sz w:val="15"/>
                <w:szCs w:val="15"/>
              </w:rPr>
            </w:pPr>
            <w:r>
              <w:rPr>
                <w:rFonts w:ascii="Segoe UI Symbol" w:hAnsi="Segoe UI Symbol" w:eastAsia="宋体" w:cs="Segoe UI Symbol"/>
                <w:color w:val="000000"/>
                <w:kern w:val="2"/>
                <w:sz w:val="15"/>
                <w:szCs w:val="15"/>
              </w:rPr>
              <w:t>☆☆☆☆</w:t>
            </w:r>
          </w:p>
        </w:tc>
        <w:tc>
          <w:tcPr>
            <w:tcW w:w="1568"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E&lt;</w:t>
            </w:r>
            <w:r>
              <w:rPr>
                <w:rFonts w:ascii="Calibri" w:hAnsi="Calibri" w:eastAsia="黑体" w:cs="黑体"/>
                <w:bCs/>
                <w:color w:val="000000"/>
                <w:kern w:val="2"/>
                <w:sz w:val="18"/>
                <w:szCs w:val="18"/>
              </w:rPr>
              <w:t>0.01</w:t>
            </w:r>
          </w:p>
        </w:tc>
        <w:tc>
          <w:tcPr>
            <w:tcW w:w="1643" w:type="dxa"/>
            <w:vAlign w:val="center"/>
          </w:tcPr>
          <w:p>
            <w:pPr>
              <w:jc w:val="center"/>
              <w:rPr>
                <w:rFonts w:ascii="Calibri" w:hAnsi="Calibri" w:eastAsia="宋体" w:cs="黑体"/>
                <w:color w:val="000000"/>
                <w:kern w:val="2"/>
                <w:sz w:val="15"/>
                <w:szCs w:val="15"/>
              </w:rPr>
            </w:pPr>
            <w:r>
              <w:rPr>
                <w:rFonts w:ascii="Calibri" w:hAnsi="Calibri" w:eastAsia="宋体" w:cs="黑体"/>
                <w:color w:val="000000"/>
                <w:kern w:val="2"/>
                <w:sz w:val="15"/>
                <w:szCs w:val="15"/>
              </w:rPr>
              <w:t>E&lt;</w:t>
            </w:r>
            <w:r>
              <w:rPr>
                <w:rFonts w:ascii="Calibri" w:hAnsi="Calibri" w:eastAsia="黑体" w:cs="黑体"/>
                <w:bCs/>
                <w:color w:val="000000"/>
                <w:kern w:val="2"/>
                <w:sz w:val="18"/>
                <w:szCs w:val="18"/>
              </w:rPr>
              <w:t>0.2</w:t>
            </w:r>
          </w:p>
        </w:tc>
      </w:tr>
    </w:tbl>
    <w:p>
      <w:pPr>
        <w:ind w:firstLine="420" w:firstLineChars="200"/>
        <w:rPr>
          <w:rFonts w:eastAsia="华文仿宋"/>
          <w:color w:val="000000"/>
        </w:rPr>
      </w:pPr>
      <w:r>
        <w:rPr>
          <w:rFonts w:eastAsia="华文仿宋"/>
          <w:color w:val="000000"/>
        </w:rPr>
        <w:t>本条的评价方法为</w:t>
      </w:r>
      <w:r>
        <w:rPr>
          <w:rFonts w:hint="eastAsia" w:eastAsia="华文仿宋"/>
          <w:color w:val="000000"/>
        </w:rPr>
        <w:t>：</w:t>
      </w:r>
      <w:r>
        <w:rPr>
          <w:rFonts w:eastAsia="华文仿宋"/>
          <w:color w:val="000000"/>
        </w:rPr>
        <w:t>评价审核家具绿色设计评价等级证书、家具检测报告、家具附加环保性能检测报告、家具产品环境测试舱报告。</w:t>
      </w:r>
    </w:p>
    <w:p>
      <w:pPr>
        <w:rPr>
          <w:color w:val="000000"/>
        </w:rPr>
      </w:pPr>
      <w:r>
        <w:rPr>
          <w:rStyle w:val="52"/>
          <w:rFonts w:hint="eastAsia" w:eastAsia="仿宋"/>
          <w:b/>
          <w:color w:val="000000"/>
          <w:szCs w:val="21"/>
          <w:u w:val="none"/>
        </w:rPr>
        <w:t>5.2.</w:t>
      </w:r>
      <w:r>
        <w:rPr>
          <w:rStyle w:val="52"/>
          <w:rFonts w:eastAsia="仿宋"/>
          <w:b/>
          <w:color w:val="000000"/>
          <w:szCs w:val="21"/>
          <w:u w:val="none"/>
        </w:rPr>
        <w:t>5</w:t>
      </w:r>
      <w:r>
        <w:rPr>
          <w:rStyle w:val="52"/>
          <w:rFonts w:hint="eastAsia" w:eastAsia="仿宋"/>
          <w:b/>
          <w:color w:val="000000"/>
          <w:szCs w:val="21"/>
          <w:u w:val="none"/>
        </w:rPr>
        <w:t xml:space="preserve"> </w:t>
      </w:r>
      <w:r>
        <w:rPr>
          <w:rFonts w:hint="eastAsia"/>
          <w:color w:val="000000"/>
        </w:rPr>
        <w:t xml:space="preserve"> </w:t>
      </w:r>
      <w:r>
        <w:rPr>
          <w:color w:val="000000"/>
        </w:rPr>
        <w:t>水龙头满足下列要求，评价总分值为</w:t>
      </w:r>
      <w:r>
        <w:rPr>
          <w:color w:val="000000"/>
          <w:spacing w:val="-60"/>
        </w:rPr>
        <w:t xml:space="preserve"> </w:t>
      </w:r>
      <w:r>
        <w:rPr>
          <w:color w:val="000000"/>
        </w:rPr>
        <w:t>10</w:t>
      </w:r>
      <w:r>
        <w:rPr>
          <w:color w:val="000000"/>
          <w:spacing w:val="-60"/>
        </w:rPr>
        <w:t xml:space="preserve"> </w:t>
      </w:r>
      <w:r>
        <w:rPr>
          <w:color w:val="000000"/>
        </w:rPr>
        <w:t>分，按下列规则评分并累计：</w:t>
      </w:r>
    </w:p>
    <w:tbl>
      <w:tblPr>
        <w:tblStyle w:val="147"/>
        <w:tblW w:w="574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01"/>
        <w:gridCol w:w="922"/>
        <w:gridCol w:w="3262"/>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exact"/>
          <w:jc w:val="center"/>
        </w:trPr>
        <w:tc>
          <w:tcPr>
            <w:tcW w:w="701"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序号</w:t>
            </w:r>
          </w:p>
        </w:tc>
        <w:tc>
          <w:tcPr>
            <w:tcW w:w="92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指标名称</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指标值</w:t>
            </w:r>
          </w:p>
        </w:tc>
        <w:tc>
          <w:tcPr>
            <w:tcW w:w="85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599" w:hRule="atLeast"/>
          <w:jc w:val="center"/>
        </w:trPr>
        <w:tc>
          <w:tcPr>
            <w:tcW w:w="701" w:type="dxa"/>
            <w:tcBorders>
              <w:top w:val="single" w:color="000000" w:sz="8" w:space="0"/>
              <w:left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w:t>
            </w:r>
          </w:p>
        </w:tc>
        <w:tc>
          <w:tcPr>
            <w:tcW w:w="922" w:type="dxa"/>
            <w:tcBorders>
              <w:top w:val="single" w:color="000000" w:sz="8" w:space="0"/>
              <w:left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材质</w:t>
            </w:r>
          </w:p>
        </w:tc>
        <w:tc>
          <w:tcPr>
            <w:tcW w:w="3262" w:type="dxa"/>
            <w:tcBorders>
              <w:top w:val="single" w:color="000000" w:sz="8" w:space="0"/>
              <w:left w:val="single" w:color="000000" w:sz="8" w:space="0"/>
              <w:right w:val="single" w:color="000000" w:sz="8" w:space="0"/>
            </w:tcBorders>
            <w:vAlign w:val="center"/>
          </w:tcPr>
          <w:p>
            <w:pPr>
              <w:pStyle w:val="93"/>
              <w:widowControl/>
              <w:spacing w:before="1" w:line="360" w:lineRule="exact"/>
              <w:ind w:right="52"/>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采用低铅铜（铅含量小于0.25%）</w:t>
            </w:r>
          </w:p>
          <w:p>
            <w:pPr>
              <w:pStyle w:val="93"/>
              <w:widowControl/>
              <w:spacing w:before="1" w:line="360" w:lineRule="exact"/>
              <w:ind w:right="52"/>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或304、316 不锈钢（医用级，少錳）</w:t>
            </w:r>
          </w:p>
        </w:tc>
        <w:tc>
          <w:tcPr>
            <w:tcW w:w="856" w:type="dxa"/>
            <w:tcBorders>
              <w:top w:val="single" w:color="000000" w:sz="8" w:space="0"/>
              <w:left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701"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w:t>
            </w:r>
          </w:p>
        </w:tc>
        <w:tc>
          <w:tcPr>
            <w:tcW w:w="92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出水嘴</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采用起泡器</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95" w:hRule="exact"/>
          <w:jc w:val="center"/>
        </w:trPr>
        <w:tc>
          <w:tcPr>
            <w:tcW w:w="701" w:type="dxa"/>
            <w:vMerge w:val="restart"/>
            <w:tcBorders>
              <w:top w:val="single" w:color="000000" w:sz="8" w:space="0"/>
              <w:left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3</w:t>
            </w:r>
          </w:p>
        </w:tc>
        <w:tc>
          <w:tcPr>
            <w:tcW w:w="922" w:type="dxa"/>
            <w:vMerge w:val="restart"/>
            <w:tcBorders>
              <w:top w:val="single" w:color="000000" w:sz="8" w:space="0"/>
              <w:left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盐雾测试</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通过 24 小时盐雾测试保护评级及外观评级达到无缺陷</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1" w:hRule="exact"/>
          <w:jc w:val="center"/>
        </w:trPr>
        <w:tc>
          <w:tcPr>
            <w:tcW w:w="701" w:type="dxa"/>
            <w:vMerge w:val="continue"/>
            <w:tcBorders>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p>
        </w:tc>
        <w:tc>
          <w:tcPr>
            <w:tcW w:w="922" w:type="dxa"/>
            <w:vMerge w:val="continue"/>
            <w:tcBorders>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p>
        </w:tc>
        <w:tc>
          <w:tcPr>
            <w:tcW w:w="3262" w:type="dxa"/>
            <w:tcBorders>
              <w:top w:val="single" w:color="000000" w:sz="8" w:space="0"/>
              <w:left w:val="single" w:color="000000" w:sz="8" w:space="0"/>
              <w:bottom w:val="single" w:color="000000" w:sz="8" w:space="0"/>
              <w:right w:val="single" w:color="000000" w:sz="8" w:space="0"/>
            </w:tcBorders>
            <w:vAlign w:val="center"/>
          </w:tcPr>
          <w:p>
            <w:pPr>
              <w:pStyle w:val="93"/>
              <w:widowControl/>
              <w:spacing w:before="1" w:line="360" w:lineRule="exact"/>
              <w:ind w:right="5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通过 48 小时盐雾测试</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701" w:type="dxa"/>
            <w:vMerge w:val="restart"/>
            <w:tcBorders>
              <w:top w:val="single" w:color="000000" w:sz="8" w:space="0"/>
              <w:left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4</w:t>
            </w:r>
          </w:p>
        </w:tc>
        <w:tc>
          <w:tcPr>
            <w:tcW w:w="922" w:type="dxa"/>
            <w:vMerge w:val="restart"/>
            <w:tcBorders>
              <w:top w:val="single" w:color="000000" w:sz="8" w:space="0"/>
              <w:left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可旋转或抽拉</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360°旋转或</w:t>
            </w:r>
          </w:p>
        </w:tc>
        <w:tc>
          <w:tcPr>
            <w:tcW w:w="856" w:type="dxa"/>
            <w:vMerge w:val="restart"/>
            <w:tcBorders>
              <w:top w:val="single" w:color="000000" w:sz="8" w:space="0"/>
              <w:left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701" w:type="dxa"/>
            <w:vMerge w:val="continue"/>
            <w:tcBorders>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p>
        </w:tc>
        <w:tc>
          <w:tcPr>
            <w:tcW w:w="922" w:type="dxa"/>
            <w:vMerge w:val="continue"/>
            <w:tcBorders>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p>
        </w:tc>
        <w:tc>
          <w:tcPr>
            <w:tcW w:w="3262" w:type="dxa"/>
            <w:tcBorders>
              <w:top w:val="single" w:color="000000" w:sz="8" w:space="0"/>
              <w:left w:val="single" w:color="000000" w:sz="8" w:space="0"/>
              <w:bottom w:val="single" w:color="000000" w:sz="8" w:space="0"/>
              <w:right w:val="single" w:color="000000" w:sz="8" w:space="0"/>
            </w:tcBorders>
            <w:vAlign w:val="center"/>
          </w:tcPr>
          <w:p>
            <w:pPr>
              <w:pStyle w:val="93"/>
              <w:widowControl/>
              <w:spacing w:before="16" w:line="360" w:lineRule="exact"/>
              <w:ind w:right="52"/>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可抽拉</w:t>
            </w:r>
          </w:p>
        </w:tc>
        <w:tc>
          <w:tcPr>
            <w:tcW w:w="856" w:type="dxa"/>
            <w:vMerge w:val="continue"/>
            <w:tcBorders>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60" w:hRule="exact"/>
          <w:jc w:val="center"/>
        </w:trPr>
        <w:tc>
          <w:tcPr>
            <w:tcW w:w="701"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5</w:t>
            </w:r>
          </w:p>
        </w:tc>
        <w:tc>
          <w:tcPr>
            <w:tcW w:w="92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铅含量国家标准5ug/L</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铅析出量小于2ug/L</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701"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6</w:t>
            </w:r>
          </w:p>
        </w:tc>
        <w:tc>
          <w:tcPr>
            <w:tcW w:w="92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硬度</w:t>
            </w:r>
          </w:p>
        </w:tc>
        <w:tc>
          <w:tcPr>
            <w:tcW w:w="3262"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达到纳米硬度</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 分</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b/>
          <w:bCs/>
          <w:color w:val="000000"/>
          <w:szCs w:val="21"/>
        </w:rPr>
        <w:t>5.2.5</w:t>
      </w:r>
      <w:r>
        <w:rPr>
          <w:rFonts w:hint="eastAsia"/>
          <w:b/>
          <w:bCs/>
          <w:color w:val="000000"/>
          <w:szCs w:val="21"/>
        </w:rPr>
        <w:t xml:space="preserve">  </w:t>
      </w:r>
      <w:r>
        <w:rPr>
          <w:rFonts w:hint="eastAsia" w:eastAsia="华文仿宋"/>
          <w:color w:val="000000"/>
        </w:rPr>
        <w:t>本条适用于各类民用建筑室内全装修的评价。</w:t>
      </w:r>
    </w:p>
    <w:p>
      <w:pPr>
        <w:widowControl/>
        <w:spacing w:line="360" w:lineRule="exact"/>
        <w:ind w:firstLine="420" w:firstLineChars="200"/>
        <w:rPr>
          <w:rStyle w:val="52"/>
          <w:rFonts w:eastAsia="华文仿宋"/>
          <w:b/>
          <w:color w:val="000000"/>
          <w:szCs w:val="21"/>
          <w:u w:val="none"/>
        </w:rPr>
      </w:pPr>
      <w:r>
        <w:rPr>
          <w:rFonts w:eastAsia="华文仿宋"/>
          <w:color w:val="000000"/>
        </w:rPr>
        <w:t>本条评价方法为：评价查阅材料进场清单</w:t>
      </w:r>
      <w:r>
        <w:rPr>
          <w:rFonts w:hint="eastAsia" w:eastAsia="华文仿宋"/>
          <w:color w:val="000000"/>
        </w:rPr>
        <w:t>及</w:t>
      </w:r>
      <w:r>
        <w:rPr>
          <w:rFonts w:eastAsia="华文仿宋"/>
          <w:color w:val="000000"/>
        </w:rPr>
        <w:t>产品性能检测报告</w:t>
      </w:r>
      <w:r>
        <w:rPr>
          <w:rFonts w:hint="eastAsia" w:eastAsia="华文仿宋"/>
          <w:color w:val="000000"/>
        </w:rPr>
        <w:t>，</w:t>
      </w:r>
      <w:r>
        <w:rPr>
          <w:rFonts w:eastAsia="华文仿宋"/>
          <w:color w:val="000000"/>
        </w:rPr>
        <w:t>并现场核实。</w:t>
      </w:r>
    </w:p>
    <w:p>
      <w:pPr>
        <w:rPr>
          <w:color w:val="000000"/>
        </w:rPr>
      </w:pPr>
      <w:r>
        <w:rPr>
          <w:rStyle w:val="52"/>
          <w:rFonts w:hint="eastAsia" w:eastAsia="仿宋"/>
          <w:b/>
          <w:color w:val="000000"/>
          <w:szCs w:val="21"/>
          <w:u w:val="none"/>
        </w:rPr>
        <w:t>5.2.</w:t>
      </w:r>
      <w:r>
        <w:rPr>
          <w:rStyle w:val="52"/>
          <w:rFonts w:eastAsia="仿宋"/>
          <w:b/>
          <w:color w:val="000000"/>
          <w:szCs w:val="21"/>
          <w:u w:val="none"/>
        </w:rPr>
        <w:t>6</w:t>
      </w:r>
      <w:r>
        <w:rPr>
          <w:rStyle w:val="52"/>
          <w:rFonts w:hint="eastAsia" w:eastAsia="仿宋"/>
          <w:b/>
          <w:color w:val="000000"/>
          <w:szCs w:val="21"/>
          <w:u w:val="none"/>
        </w:rPr>
        <w:t xml:space="preserve"> </w:t>
      </w:r>
      <w:r>
        <w:rPr>
          <w:rFonts w:hint="eastAsia"/>
          <w:color w:val="000000"/>
        </w:rPr>
        <w:t xml:space="preserve"> 座便器</w:t>
      </w:r>
      <w:r>
        <w:rPr>
          <w:color w:val="000000"/>
        </w:rPr>
        <w:t>满足下列要求，评价总分值10</w:t>
      </w:r>
      <w:r>
        <w:rPr>
          <w:color w:val="000000"/>
          <w:spacing w:val="-60"/>
        </w:rPr>
        <w:t xml:space="preserve"> </w:t>
      </w:r>
      <w:r>
        <w:rPr>
          <w:color w:val="000000"/>
        </w:rPr>
        <w:t>分，按下列规则评分并累计：</w:t>
      </w:r>
    </w:p>
    <w:tbl>
      <w:tblPr>
        <w:tblStyle w:val="147"/>
        <w:tblW w:w="574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96"/>
        <w:gridCol w:w="1306"/>
        <w:gridCol w:w="2883"/>
        <w:gridCol w:w="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1"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序号</w:t>
            </w:r>
          </w:p>
        </w:tc>
        <w:tc>
          <w:tcPr>
            <w:tcW w:w="130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指标名称</w:t>
            </w:r>
          </w:p>
        </w:tc>
        <w:tc>
          <w:tcPr>
            <w:tcW w:w="2883"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指标值</w:t>
            </w:r>
          </w:p>
        </w:tc>
        <w:tc>
          <w:tcPr>
            <w:tcW w:w="85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w:t>
            </w:r>
          </w:p>
        </w:tc>
        <w:tc>
          <w:tcPr>
            <w:tcW w:w="130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低噪音</w:t>
            </w:r>
            <w:r>
              <w:rPr>
                <w:rFonts w:hint="eastAsia" w:ascii="Calibri" w:hAnsi="Calibri" w:eastAsia="宋体" w:cs="黑体"/>
                <w:color w:val="000000"/>
                <w:sz w:val="15"/>
                <w:szCs w:val="15"/>
                <w:lang w:eastAsia="en-US"/>
              </w:rPr>
              <w:t>座便器</w:t>
            </w:r>
          </w:p>
        </w:tc>
        <w:tc>
          <w:tcPr>
            <w:tcW w:w="2883"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≤50dB</w:t>
            </w:r>
          </w:p>
        </w:tc>
        <w:tc>
          <w:tcPr>
            <w:tcW w:w="85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68"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w:t>
            </w:r>
          </w:p>
        </w:tc>
        <w:tc>
          <w:tcPr>
            <w:tcW w:w="130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智能一体</w:t>
            </w:r>
            <w:r>
              <w:rPr>
                <w:rFonts w:hint="eastAsia" w:ascii="Calibri" w:hAnsi="Calibri" w:eastAsia="宋体" w:cs="黑体"/>
                <w:color w:val="000000"/>
                <w:sz w:val="15"/>
                <w:szCs w:val="15"/>
                <w:lang w:eastAsia="zh-CN"/>
              </w:rPr>
              <w:t>座便器</w:t>
            </w:r>
          </w:p>
          <w:p>
            <w:pPr>
              <w:widowControl/>
              <w:spacing w:line="360" w:lineRule="exact"/>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/或智能</w:t>
            </w:r>
            <w:r>
              <w:rPr>
                <w:rFonts w:hint="eastAsia" w:ascii="Calibri" w:hAnsi="Calibri" w:eastAsia="宋体" w:cs="黑体"/>
                <w:color w:val="000000"/>
                <w:sz w:val="15"/>
                <w:szCs w:val="15"/>
                <w:lang w:eastAsia="zh-CN"/>
              </w:rPr>
              <w:t>座便器</w:t>
            </w:r>
            <w:r>
              <w:rPr>
                <w:rFonts w:ascii="Calibri" w:hAnsi="Calibri" w:eastAsia="宋体" w:cs="黑体"/>
                <w:color w:val="000000"/>
                <w:sz w:val="15"/>
                <w:szCs w:val="15"/>
                <w:lang w:eastAsia="zh-CN"/>
              </w:rPr>
              <w:t>盖</w:t>
            </w:r>
          </w:p>
        </w:tc>
        <w:tc>
          <w:tcPr>
            <w:tcW w:w="2883"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采用</w:t>
            </w:r>
          </w:p>
        </w:tc>
        <w:tc>
          <w:tcPr>
            <w:tcW w:w="85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5"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3</w:t>
            </w:r>
          </w:p>
        </w:tc>
        <w:tc>
          <w:tcPr>
            <w:tcW w:w="130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缓降</w:t>
            </w:r>
            <w:r>
              <w:rPr>
                <w:rFonts w:hint="eastAsia" w:ascii="Calibri" w:hAnsi="Calibri" w:eastAsia="宋体" w:cs="黑体"/>
                <w:color w:val="000000"/>
                <w:sz w:val="15"/>
                <w:szCs w:val="15"/>
                <w:lang w:eastAsia="en-US"/>
              </w:rPr>
              <w:t>座便器</w:t>
            </w:r>
            <w:r>
              <w:rPr>
                <w:rFonts w:ascii="Calibri" w:hAnsi="Calibri" w:eastAsia="宋体" w:cs="黑体"/>
                <w:color w:val="000000"/>
                <w:sz w:val="15"/>
                <w:szCs w:val="15"/>
                <w:lang w:eastAsia="en-US"/>
              </w:rPr>
              <w:t>盖</w:t>
            </w:r>
          </w:p>
        </w:tc>
        <w:tc>
          <w:tcPr>
            <w:tcW w:w="2883"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采用</w:t>
            </w:r>
          </w:p>
        </w:tc>
        <w:tc>
          <w:tcPr>
            <w:tcW w:w="856" w:type="dxa"/>
            <w:tcBorders>
              <w:top w:val="single" w:color="000000" w:sz="8" w:space="0"/>
              <w:left w:val="single" w:color="000000" w:sz="8" w:space="0"/>
              <w:bottom w:val="single" w:color="000000" w:sz="8" w:space="0"/>
              <w:right w:val="single" w:color="000000" w:sz="8" w:space="0"/>
            </w:tcBorders>
            <w:vAlign w:val="center"/>
          </w:tcPr>
          <w:p>
            <w:pPr>
              <w:widowControl/>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96" w:hRule="atLeas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4</w:t>
            </w:r>
          </w:p>
        </w:tc>
        <w:tc>
          <w:tcPr>
            <w:tcW w:w="130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其它</w:t>
            </w:r>
          </w:p>
        </w:tc>
        <w:tc>
          <w:tcPr>
            <w:tcW w:w="2883" w:type="dxa"/>
            <w:tcBorders>
              <w:top w:val="single" w:color="000000" w:sz="8" w:space="0"/>
              <w:left w:val="single" w:color="000000" w:sz="8" w:space="0"/>
              <w:bottom w:val="single" w:color="000000" w:sz="8" w:space="0"/>
              <w:right w:val="single" w:color="000000" w:sz="8" w:space="0"/>
            </w:tcBorders>
            <w:vAlign w:val="center"/>
          </w:tcPr>
          <w:p>
            <w:pPr>
              <w:pStyle w:val="93"/>
              <w:widowControl/>
              <w:spacing w:line="360" w:lineRule="exact"/>
              <w:ind w:right="57"/>
              <w:jc w:val="center"/>
              <w:rPr>
                <w:rFonts w:ascii="Calibri" w:hAnsi="Calibri" w:eastAsia="宋体" w:cs="黑体"/>
                <w:color w:val="000000"/>
                <w:sz w:val="15"/>
                <w:szCs w:val="15"/>
                <w:lang w:eastAsia="zh-CN"/>
              </w:rPr>
            </w:pPr>
            <w:r>
              <w:rPr>
                <w:rFonts w:ascii="Calibri" w:hAnsi="Calibri" w:eastAsia="宋体" w:cs="黑体"/>
                <w:color w:val="000000"/>
                <w:sz w:val="15"/>
                <w:szCs w:val="15"/>
                <w:lang w:eastAsia="zh-CN"/>
              </w:rPr>
              <w:t>采用了其它可提升马桶品质的特点可予以说明，每满足一条得</w:t>
            </w:r>
            <w:r>
              <w:rPr>
                <w:rFonts w:hint="eastAsia" w:ascii="Calibri" w:hAnsi="Calibri" w:eastAsia="宋体" w:cs="黑体"/>
                <w:color w:val="000000"/>
                <w:sz w:val="15"/>
                <w:szCs w:val="15"/>
                <w:lang w:eastAsia="zh-CN"/>
              </w:rPr>
              <w:t>1</w:t>
            </w:r>
            <w:r>
              <w:rPr>
                <w:rFonts w:ascii="Calibri" w:hAnsi="Calibri" w:eastAsia="宋体" w:cs="黑体"/>
                <w:color w:val="000000"/>
                <w:sz w:val="15"/>
                <w:szCs w:val="15"/>
                <w:lang w:eastAsia="zh-CN"/>
              </w:rPr>
              <w:t>分，最多2分。如防溅水措施，防堵塞措施，可以供大人、儿童同时使用的马桶盖等。</w:t>
            </w:r>
          </w:p>
        </w:tc>
        <w:tc>
          <w:tcPr>
            <w:tcW w:w="85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rFonts w:ascii="Calibri" w:hAnsi="Calibri" w:eastAsia="宋体" w:cs="黑体"/>
                <w:color w:val="000000"/>
                <w:sz w:val="15"/>
                <w:szCs w:val="15"/>
                <w:lang w:eastAsia="en-US"/>
              </w:rPr>
            </w:pPr>
            <w:r>
              <w:rPr>
                <w:rFonts w:ascii="Calibri" w:hAnsi="Calibri" w:eastAsia="宋体" w:cs="黑体"/>
                <w:color w:val="000000"/>
                <w:sz w:val="15"/>
                <w:szCs w:val="15"/>
                <w:lang w:eastAsia="en-US"/>
              </w:rPr>
              <w:t>2</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b/>
          <w:bCs/>
          <w:color w:val="000000"/>
          <w:szCs w:val="21"/>
        </w:rPr>
        <w:t>5.2.6</w:t>
      </w:r>
      <w:r>
        <w:rPr>
          <w:rFonts w:hint="eastAsia"/>
          <w:b/>
          <w:bCs/>
          <w:color w:val="000000"/>
          <w:szCs w:val="21"/>
        </w:rPr>
        <w:t xml:space="preserve">  </w:t>
      </w:r>
      <w:r>
        <w:rPr>
          <w:rFonts w:hint="eastAsia" w:eastAsia="华文仿宋"/>
          <w:color w:val="000000"/>
        </w:rPr>
        <w:t>本条适用于各类民用建筑室内全装修的评价。</w:t>
      </w:r>
    </w:p>
    <w:p>
      <w:pPr>
        <w:widowControl/>
        <w:spacing w:line="360" w:lineRule="exact"/>
        <w:ind w:firstLine="420" w:firstLineChars="200"/>
        <w:rPr>
          <w:rStyle w:val="52"/>
          <w:rFonts w:eastAsia="华文仿宋"/>
          <w:b/>
          <w:color w:val="000000"/>
          <w:szCs w:val="21"/>
          <w:u w:val="none"/>
        </w:rPr>
      </w:pPr>
      <w:r>
        <w:rPr>
          <w:rFonts w:eastAsia="华文仿宋"/>
          <w:color w:val="000000"/>
        </w:rPr>
        <w:t>本条评价方法为：评价查阅材料进场清单</w:t>
      </w:r>
      <w:r>
        <w:rPr>
          <w:rFonts w:hint="eastAsia" w:eastAsia="华文仿宋"/>
          <w:color w:val="000000"/>
        </w:rPr>
        <w:t>及</w:t>
      </w:r>
      <w:r>
        <w:rPr>
          <w:rFonts w:eastAsia="华文仿宋"/>
          <w:color w:val="000000"/>
        </w:rPr>
        <w:t>产品性能检测报告</w:t>
      </w:r>
      <w:r>
        <w:rPr>
          <w:rFonts w:hint="eastAsia" w:eastAsia="华文仿宋"/>
          <w:color w:val="000000"/>
        </w:rPr>
        <w:t>，</w:t>
      </w:r>
      <w:r>
        <w:rPr>
          <w:rFonts w:eastAsia="华文仿宋"/>
          <w:color w:val="000000"/>
        </w:rPr>
        <w:t>并现场核实。</w:t>
      </w:r>
    </w:p>
    <w:p>
      <w:pPr>
        <w:rPr>
          <w:color w:val="000000"/>
        </w:rPr>
      </w:pPr>
      <w:r>
        <w:rPr>
          <w:rStyle w:val="52"/>
          <w:rFonts w:hint="eastAsia" w:eastAsia="仿宋"/>
          <w:b/>
          <w:color w:val="000000"/>
          <w:szCs w:val="21"/>
          <w:u w:val="none"/>
        </w:rPr>
        <w:t>5.2.</w:t>
      </w:r>
      <w:r>
        <w:rPr>
          <w:rStyle w:val="52"/>
          <w:rFonts w:eastAsia="仿宋"/>
          <w:b/>
          <w:color w:val="000000"/>
          <w:szCs w:val="21"/>
          <w:u w:val="none"/>
        </w:rPr>
        <w:t>7</w:t>
      </w:r>
      <w:r>
        <w:rPr>
          <w:rStyle w:val="52"/>
          <w:rFonts w:hint="eastAsia" w:eastAsia="仿宋"/>
          <w:b/>
          <w:color w:val="000000"/>
          <w:szCs w:val="21"/>
          <w:u w:val="none"/>
        </w:rPr>
        <w:t xml:space="preserve"> </w:t>
      </w:r>
      <w:r>
        <w:rPr>
          <w:rFonts w:hint="eastAsia"/>
          <w:color w:val="000000"/>
        </w:rPr>
        <w:t xml:space="preserve"> </w:t>
      </w:r>
      <w:r>
        <w:rPr>
          <w:color w:val="000000"/>
        </w:rPr>
        <w:t>空调设备满足下列要求，评价总分值12分，按下列规则分别评分并累计：</w:t>
      </w:r>
    </w:p>
    <w:p>
      <w:pPr>
        <w:ind w:firstLine="420" w:firstLineChars="200"/>
        <w:rPr>
          <w:color w:val="000000"/>
        </w:rPr>
      </w:pPr>
      <w:r>
        <w:rPr>
          <w:color w:val="000000"/>
        </w:rPr>
        <w:t>1</w:t>
      </w:r>
      <w:r>
        <w:rPr>
          <w:rFonts w:hint="eastAsia"/>
          <w:color w:val="000000"/>
        </w:rPr>
        <w:t xml:space="preserve">  </w:t>
      </w:r>
      <w:r>
        <w:rPr>
          <w:color w:val="000000"/>
        </w:rPr>
        <w:t>满足</w:t>
      </w:r>
      <w:r>
        <w:rPr>
          <w:rFonts w:hint="eastAsia"/>
          <w:color w:val="000000"/>
        </w:rPr>
        <w:t>二</w:t>
      </w:r>
      <w:r>
        <w:rPr>
          <w:color w:val="000000"/>
        </w:rPr>
        <w:t>级</w:t>
      </w:r>
      <w:r>
        <w:rPr>
          <w:rFonts w:hint="eastAsia"/>
          <w:color w:val="000000"/>
        </w:rPr>
        <w:t>及</w:t>
      </w:r>
      <w:r>
        <w:rPr>
          <w:color w:val="000000"/>
        </w:rPr>
        <w:t>以上能效，得7分；</w:t>
      </w:r>
    </w:p>
    <w:p>
      <w:pPr>
        <w:ind w:firstLine="420" w:firstLineChars="200"/>
        <w:rPr>
          <w:color w:val="000000"/>
        </w:rPr>
      </w:pPr>
      <w:r>
        <w:rPr>
          <w:color w:val="000000"/>
        </w:rPr>
        <w:t xml:space="preserve">2 </w:t>
      </w:r>
      <w:r>
        <w:rPr>
          <w:rFonts w:hint="eastAsia"/>
          <w:color w:val="000000"/>
        </w:rPr>
        <w:t xml:space="preserve"> </w:t>
      </w:r>
      <w:r>
        <w:rPr>
          <w:color w:val="000000"/>
        </w:rPr>
        <w:t>具有变频功能，得5分。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b/>
          <w:bCs/>
          <w:color w:val="000000"/>
          <w:szCs w:val="21"/>
        </w:rPr>
        <w:t>5.2.7</w:t>
      </w:r>
      <w:r>
        <w:rPr>
          <w:rFonts w:hint="eastAsia"/>
          <w:b/>
          <w:bCs/>
          <w:color w:val="000000"/>
          <w:szCs w:val="21"/>
        </w:rPr>
        <w:t xml:space="preserve">  </w:t>
      </w:r>
      <w:r>
        <w:rPr>
          <w:rFonts w:hint="eastAsia" w:eastAsia="华文仿宋"/>
          <w:color w:val="000000"/>
        </w:rPr>
        <w:t>本条适用于各类民用建筑室内全装修的评价。</w:t>
      </w:r>
    </w:p>
    <w:p>
      <w:pPr>
        <w:widowControl/>
        <w:spacing w:line="360" w:lineRule="exact"/>
        <w:ind w:firstLine="420" w:firstLineChars="200"/>
        <w:rPr>
          <w:rFonts w:eastAsia="华文仿宋"/>
          <w:b/>
          <w:color w:val="000000"/>
          <w:szCs w:val="21"/>
        </w:rPr>
      </w:pPr>
      <w:r>
        <w:rPr>
          <w:rFonts w:eastAsia="华文仿宋"/>
          <w:color w:val="000000"/>
        </w:rPr>
        <w:t>本条评价方法为：评价查阅材料进场清单</w:t>
      </w:r>
      <w:r>
        <w:rPr>
          <w:rFonts w:hint="eastAsia" w:eastAsia="华文仿宋"/>
          <w:color w:val="000000"/>
        </w:rPr>
        <w:t>及</w:t>
      </w:r>
      <w:r>
        <w:rPr>
          <w:rFonts w:eastAsia="华文仿宋"/>
          <w:color w:val="000000"/>
        </w:rPr>
        <w:t>产品性能检测报告</w:t>
      </w:r>
      <w:r>
        <w:rPr>
          <w:rFonts w:hint="eastAsia" w:eastAsia="华文仿宋"/>
          <w:color w:val="000000"/>
        </w:rPr>
        <w:t>，</w:t>
      </w:r>
      <w:r>
        <w:rPr>
          <w:rFonts w:eastAsia="华文仿宋"/>
          <w:color w:val="000000"/>
        </w:rPr>
        <w:t>并现场核实。</w:t>
      </w:r>
    </w:p>
    <w:p>
      <w:pPr>
        <w:rPr>
          <w:color w:val="000000"/>
        </w:rPr>
      </w:pPr>
      <w:r>
        <w:rPr>
          <w:rStyle w:val="52"/>
          <w:rFonts w:hint="eastAsia" w:eastAsia="仿宋"/>
          <w:b/>
          <w:color w:val="000000"/>
          <w:szCs w:val="21"/>
          <w:u w:val="none"/>
        </w:rPr>
        <w:t>5.2.</w:t>
      </w:r>
      <w:r>
        <w:rPr>
          <w:rStyle w:val="52"/>
          <w:rFonts w:eastAsia="仿宋"/>
          <w:b/>
          <w:color w:val="000000"/>
          <w:szCs w:val="21"/>
          <w:u w:val="none"/>
        </w:rPr>
        <w:t>8</w:t>
      </w:r>
      <w:r>
        <w:rPr>
          <w:rStyle w:val="52"/>
          <w:rFonts w:hint="eastAsia" w:eastAsia="仿宋"/>
          <w:b/>
          <w:color w:val="000000"/>
          <w:szCs w:val="21"/>
          <w:u w:val="none"/>
        </w:rPr>
        <w:t xml:space="preserve"> </w:t>
      </w:r>
      <w:r>
        <w:rPr>
          <w:rFonts w:hint="eastAsia"/>
          <w:color w:val="000000"/>
        </w:rPr>
        <w:t xml:space="preserve"> </w:t>
      </w:r>
      <w:r>
        <w:rPr>
          <w:color w:val="000000"/>
        </w:rPr>
        <w:t>卫生间排气扇满足下列要求，评价总分值8分，按下列规则分别评分并累计：</w:t>
      </w:r>
    </w:p>
    <w:p>
      <w:pPr>
        <w:ind w:firstLine="420" w:firstLineChars="200"/>
        <w:rPr>
          <w:color w:val="000000"/>
        </w:rPr>
      </w:pPr>
      <w:r>
        <w:rPr>
          <w:color w:val="000000"/>
        </w:rPr>
        <w:t xml:space="preserve">1 </w:t>
      </w:r>
      <w:r>
        <w:rPr>
          <w:rFonts w:hint="eastAsia"/>
          <w:color w:val="000000"/>
        </w:rPr>
        <w:t xml:space="preserve"> </w:t>
      </w:r>
      <w:r>
        <w:rPr>
          <w:color w:val="000000"/>
        </w:rPr>
        <w:t>排气扇满足二级能效，得3分，满足一级能效，得5分；</w:t>
      </w:r>
    </w:p>
    <w:p>
      <w:pPr>
        <w:ind w:firstLine="420" w:firstLineChars="200"/>
        <w:rPr>
          <w:color w:val="000000"/>
        </w:rPr>
      </w:pPr>
      <w:r>
        <w:rPr>
          <w:color w:val="000000"/>
        </w:rPr>
        <w:t>2</w:t>
      </w:r>
      <w:r>
        <w:rPr>
          <w:rFonts w:hint="eastAsia"/>
          <w:color w:val="000000"/>
        </w:rPr>
        <w:t xml:space="preserve"> </w:t>
      </w:r>
      <w:r>
        <w:rPr>
          <w:color w:val="000000"/>
        </w:rPr>
        <w:t xml:space="preserve"> 排气扇带有止回阀，得3分。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b/>
          <w:bCs/>
          <w:color w:val="000000"/>
          <w:szCs w:val="21"/>
        </w:rPr>
        <w:t>5.2.8</w:t>
      </w:r>
      <w:r>
        <w:rPr>
          <w:rFonts w:hint="eastAsia"/>
          <w:b/>
          <w:bCs/>
          <w:color w:val="000000"/>
          <w:szCs w:val="21"/>
        </w:rPr>
        <w:t xml:space="preserve">  </w:t>
      </w:r>
      <w:r>
        <w:rPr>
          <w:rFonts w:hint="eastAsia" w:eastAsia="华文仿宋"/>
          <w:color w:val="000000"/>
        </w:rPr>
        <w:t>本条适用于各类民用建筑室内全装修的评价。</w:t>
      </w:r>
    </w:p>
    <w:p>
      <w:pPr>
        <w:widowControl/>
        <w:spacing w:line="360" w:lineRule="exact"/>
        <w:ind w:firstLine="420" w:firstLineChars="200"/>
        <w:rPr>
          <w:rStyle w:val="52"/>
          <w:rFonts w:eastAsia="华文仿宋"/>
          <w:b/>
          <w:color w:val="000000"/>
          <w:szCs w:val="21"/>
          <w:u w:val="none"/>
        </w:rPr>
      </w:pPr>
      <w:r>
        <w:rPr>
          <w:rFonts w:eastAsia="华文仿宋"/>
          <w:color w:val="000000"/>
        </w:rPr>
        <w:t>本条评价方法为：评价查阅材料进场清单</w:t>
      </w:r>
      <w:r>
        <w:rPr>
          <w:rFonts w:hint="eastAsia" w:eastAsia="华文仿宋"/>
          <w:color w:val="000000"/>
        </w:rPr>
        <w:t>及</w:t>
      </w:r>
      <w:r>
        <w:rPr>
          <w:rFonts w:eastAsia="华文仿宋"/>
          <w:color w:val="000000"/>
        </w:rPr>
        <w:t>产品性能检测报告</w:t>
      </w:r>
      <w:r>
        <w:rPr>
          <w:rFonts w:hint="eastAsia" w:eastAsia="华文仿宋"/>
          <w:color w:val="000000"/>
        </w:rPr>
        <w:t>，</w:t>
      </w:r>
      <w:r>
        <w:rPr>
          <w:rFonts w:eastAsia="华文仿宋"/>
          <w:color w:val="000000"/>
        </w:rPr>
        <w:t>并现场核实。</w:t>
      </w:r>
    </w:p>
    <w:p>
      <w:pPr>
        <w:rPr>
          <w:color w:val="000000"/>
        </w:rPr>
      </w:pPr>
      <w:r>
        <w:rPr>
          <w:rStyle w:val="52"/>
          <w:rFonts w:hint="eastAsia" w:eastAsia="仿宋"/>
          <w:b/>
          <w:color w:val="000000"/>
          <w:szCs w:val="21"/>
          <w:u w:val="none"/>
        </w:rPr>
        <w:t>5.2.</w:t>
      </w:r>
      <w:r>
        <w:rPr>
          <w:rStyle w:val="52"/>
          <w:rFonts w:eastAsia="仿宋"/>
          <w:b/>
          <w:color w:val="000000"/>
          <w:szCs w:val="21"/>
          <w:u w:val="none"/>
        </w:rPr>
        <w:t>9</w:t>
      </w:r>
      <w:r>
        <w:rPr>
          <w:rStyle w:val="52"/>
          <w:rFonts w:hint="eastAsia" w:eastAsia="仿宋"/>
          <w:b/>
          <w:color w:val="000000"/>
          <w:szCs w:val="21"/>
          <w:u w:val="none"/>
        </w:rPr>
        <w:t xml:space="preserve"> </w:t>
      </w:r>
      <w:r>
        <w:rPr>
          <w:rFonts w:hint="eastAsia"/>
          <w:color w:val="000000"/>
        </w:rPr>
        <w:t xml:space="preserve"> </w:t>
      </w:r>
      <w:r>
        <w:rPr>
          <w:color w:val="000000"/>
        </w:rPr>
        <w:t>开关插座满足下列要求，评价总分值10分，按下列规则评分并累计：</w:t>
      </w:r>
    </w:p>
    <w:tbl>
      <w:tblPr>
        <w:tblStyle w:val="55"/>
        <w:tblW w:w="57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96"/>
        <w:gridCol w:w="2424"/>
        <w:gridCol w:w="1546"/>
        <w:gridCol w:w="1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31"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序号</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指标名称</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指标值</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98"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插座（具有正常保护）</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具有加强保护</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94"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2</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开关插座面板材料</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聚碳酸酯</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30"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3</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开关插座使用寿命</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15000次</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422"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4</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开关接头工艺</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银合金</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31" w:hRule="exact"/>
          <w:jc w:val="center"/>
        </w:trPr>
        <w:tc>
          <w:tcPr>
            <w:tcW w:w="696" w:type="dxa"/>
            <w:vMerge w:val="restart"/>
            <w:tcBorders>
              <w:top w:val="single" w:color="000000" w:sz="8" w:space="0"/>
              <w:left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5</w:t>
            </w:r>
          </w:p>
        </w:tc>
        <w:tc>
          <w:tcPr>
            <w:tcW w:w="2424" w:type="dxa"/>
            <w:vMerge w:val="restart"/>
            <w:tcBorders>
              <w:top w:val="single" w:color="000000" w:sz="8" w:space="0"/>
              <w:left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面板底座</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PC 料</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36" w:hRule="exact"/>
          <w:jc w:val="center"/>
        </w:trPr>
        <w:tc>
          <w:tcPr>
            <w:tcW w:w="696" w:type="dxa"/>
            <w:vMerge w:val="continue"/>
            <w:tcBorders>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p>
        </w:tc>
        <w:tc>
          <w:tcPr>
            <w:tcW w:w="2424" w:type="dxa"/>
            <w:vMerge w:val="continue"/>
            <w:tcBorders>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金属料</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53"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6</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阻燃性与绝缘性</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II 类设备</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rPr>
          <w:trHeight w:val="331" w:hRule="exact"/>
          <w:jc w:val="center"/>
        </w:trPr>
        <w:tc>
          <w:tcPr>
            <w:tcW w:w="69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7</w:t>
            </w:r>
          </w:p>
        </w:tc>
        <w:tc>
          <w:tcPr>
            <w:tcW w:w="2424"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载流材料</w:t>
            </w:r>
          </w:p>
        </w:tc>
        <w:tc>
          <w:tcPr>
            <w:tcW w:w="1546"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锡磷青铜</w:t>
            </w:r>
          </w:p>
        </w:tc>
        <w:tc>
          <w:tcPr>
            <w:tcW w:w="1075" w:type="dxa"/>
            <w:tcBorders>
              <w:top w:val="single" w:color="000000" w:sz="8" w:space="0"/>
              <w:left w:val="single" w:color="000000" w:sz="8" w:space="0"/>
              <w:bottom w:val="single" w:color="000000" w:sz="8" w:space="0"/>
              <w:right w:val="single" w:color="000000" w:sz="8" w:space="0"/>
            </w:tcBorders>
            <w:vAlign w:val="center"/>
          </w:tcPr>
          <w:p>
            <w:pPr>
              <w:spacing w:line="360" w:lineRule="exact"/>
              <w:jc w:val="center"/>
              <w:rPr>
                <w:color w:val="000000"/>
                <w:sz w:val="15"/>
                <w:szCs w:val="15"/>
              </w:rPr>
            </w:pPr>
            <w:r>
              <w:rPr>
                <w:color w:val="000000"/>
                <w:sz w:val="15"/>
                <w:szCs w:val="15"/>
              </w:rPr>
              <w:t>1</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rPr>
      </w:pPr>
      <w:r>
        <w:rPr>
          <w:b/>
          <w:bCs/>
          <w:color w:val="000000"/>
          <w:szCs w:val="21"/>
        </w:rPr>
        <w:t>5.2.9</w:t>
      </w:r>
      <w:r>
        <w:rPr>
          <w:rFonts w:hint="eastAsia"/>
          <w:b/>
          <w:bCs/>
          <w:color w:val="000000"/>
          <w:szCs w:val="21"/>
        </w:rPr>
        <w:t xml:space="preserve">  </w:t>
      </w:r>
      <w:r>
        <w:rPr>
          <w:rFonts w:hint="eastAsia" w:eastAsia="华文仿宋"/>
          <w:color w:val="000000"/>
        </w:rPr>
        <w:t>本条适用于各类民用建筑室内全装修的评价。</w:t>
      </w:r>
    </w:p>
    <w:p>
      <w:pPr>
        <w:widowControl/>
        <w:spacing w:line="360" w:lineRule="exact"/>
        <w:ind w:firstLine="420" w:firstLineChars="200"/>
        <w:rPr>
          <w:rStyle w:val="146"/>
        </w:rPr>
      </w:pPr>
      <w:r>
        <w:rPr>
          <w:rFonts w:eastAsia="华文仿宋"/>
          <w:color w:val="000000"/>
        </w:rPr>
        <w:t>本条评价方法为：评价查阅材料进场清单</w:t>
      </w:r>
      <w:r>
        <w:rPr>
          <w:rFonts w:hint="eastAsia" w:eastAsia="华文仿宋"/>
          <w:color w:val="000000"/>
        </w:rPr>
        <w:t>及</w:t>
      </w:r>
      <w:r>
        <w:rPr>
          <w:rFonts w:eastAsia="华文仿宋"/>
          <w:color w:val="000000"/>
        </w:rPr>
        <w:t>产品性能检测报告</w:t>
      </w:r>
      <w:r>
        <w:rPr>
          <w:rFonts w:hint="eastAsia" w:eastAsia="华文仿宋"/>
          <w:color w:val="000000"/>
        </w:rPr>
        <w:t>，</w:t>
      </w:r>
      <w:r>
        <w:rPr>
          <w:rFonts w:eastAsia="华文仿宋"/>
          <w:color w:val="000000"/>
        </w:rPr>
        <w:t>并现场核实。</w:t>
      </w:r>
    </w:p>
    <w:p>
      <w:pPr>
        <w:rPr>
          <w:color w:val="000000"/>
        </w:rPr>
      </w:pPr>
    </w:p>
    <w:p>
      <w:pPr>
        <w:widowControl/>
        <w:spacing w:before="156" w:beforeLines="50" w:after="156" w:afterLines="50" w:line="360" w:lineRule="exact"/>
        <w:jc w:val="center"/>
        <w:rPr>
          <w:color w:val="000000"/>
          <w:szCs w:val="20"/>
        </w:rPr>
      </w:pPr>
      <w:r>
        <w:rPr>
          <w:color w:val="000000"/>
          <w:szCs w:val="20"/>
        </w:rPr>
        <w:br w:type="page"/>
      </w:r>
      <w:bookmarkStart w:id="111" w:name="_Toc433209298"/>
      <w:r>
        <w:rPr>
          <w:rFonts w:hint="eastAsia" w:eastAsia="方正小标宋简体"/>
          <w:color w:val="000000"/>
          <w:sz w:val="28"/>
          <w:szCs w:val="20"/>
        </w:rPr>
        <w:t>6</w:t>
      </w:r>
      <w:r>
        <w:rPr>
          <w:rFonts w:eastAsia="方正小标宋简体"/>
          <w:color w:val="000000"/>
          <w:sz w:val="28"/>
          <w:szCs w:val="20"/>
        </w:rPr>
        <w:t xml:space="preserve">  </w:t>
      </w:r>
      <w:bookmarkEnd w:id="111"/>
      <w:r>
        <w:rPr>
          <w:rFonts w:hint="eastAsia" w:eastAsia="方正小标宋简体"/>
          <w:color w:val="000000"/>
          <w:sz w:val="28"/>
          <w:szCs w:val="20"/>
        </w:rPr>
        <w:t>施工及</w:t>
      </w:r>
      <w:r>
        <w:rPr>
          <w:rFonts w:eastAsia="方正小标宋简体"/>
          <w:color w:val="000000"/>
          <w:sz w:val="28"/>
          <w:szCs w:val="20"/>
        </w:rPr>
        <w:t>验收</w:t>
      </w:r>
    </w:p>
    <w:p>
      <w:pPr>
        <w:snapToGrid w:val="0"/>
        <w:spacing w:before="100" w:beforeAutospacing="1" w:after="100" w:afterAutospacing="1" w:line="380" w:lineRule="exact"/>
        <w:jc w:val="center"/>
        <w:outlineLvl w:val="1"/>
        <w:rPr>
          <w:rFonts w:eastAsia="黑体"/>
          <w:color w:val="000000"/>
        </w:rPr>
      </w:pPr>
      <w:bookmarkStart w:id="112" w:name="_Toc433209299"/>
      <w:r>
        <w:rPr>
          <w:rFonts w:hint="eastAsia" w:eastAsia="黑体"/>
          <w:b/>
          <w:color w:val="000000"/>
        </w:rPr>
        <w:t>6.1</w:t>
      </w:r>
      <w:r>
        <w:rPr>
          <w:rFonts w:eastAsia="黑体"/>
          <w:color w:val="000000"/>
        </w:rPr>
        <w:t xml:space="preserve">  </w:t>
      </w:r>
      <w:bookmarkEnd w:id="112"/>
      <w:r>
        <w:rPr>
          <w:rFonts w:hint="eastAsia" w:eastAsia="黑体"/>
          <w:color w:val="000000"/>
        </w:rPr>
        <w:t>控制项</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.1.1</w:t>
      </w:r>
      <w:r>
        <w:rPr>
          <w:rFonts w:hint="eastAsia"/>
          <w:b/>
          <w:bCs/>
          <w:color w:val="000000"/>
          <w:sz w:val="21"/>
          <w:szCs w:val="21"/>
        </w:rPr>
        <w:t xml:space="preserve"> </w:t>
      </w:r>
      <w:r>
        <w:rPr>
          <w:rFonts w:hint="eastAsia"/>
          <w:bCs/>
          <w:color w:val="000000"/>
          <w:sz w:val="21"/>
          <w:szCs w:val="21"/>
        </w:rPr>
        <w:t xml:space="preserve"> 建立室内绿色装饰装修施工管理体系和组织机构，制定绿色装修施工管理目标，落实各级责任人。 </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bCs/>
          <w:color w:val="000000"/>
          <w:szCs w:val="21"/>
        </w:rPr>
        <w:t>6</w:t>
      </w:r>
      <w:r>
        <w:rPr>
          <w:rFonts w:eastAsia="宋体"/>
          <w:b/>
          <w:bCs/>
          <w:color w:val="000000"/>
          <w:szCs w:val="21"/>
        </w:rPr>
        <w:t xml:space="preserve">.1.1  </w:t>
      </w:r>
      <w:r>
        <w:rPr>
          <w:rFonts w:eastAsia="华文仿宋"/>
          <w:color w:val="000000"/>
          <w:szCs w:val="21"/>
        </w:rPr>
        <w:t>本</w:t>
      </w:r>
      <w:r>
        <w:rPr>
          <w:rFonts w:hint="eastAsia" w:eastAsia="华文仿宋"/>
          <w:color w:val="000000"/>
          <w:szCs w:val="21"/>
        </w:rPr>
        <w:t>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绿色装饰装修施工管理体系和组织机构包括三大管理体系标准，即ISO 9000（质量管理体系）、ISO 14000（环境管理体系）、OHSAS 18000（职业健康和安全管理体系），三大管理体系标准是指导室内绿色装饰装修施工的重要基础性标准。</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国家标准《绿色建筑评价标准》GB/T 50378第9章“施工管理”在控制中提出需制定三大体系的计划，并组织实施，但并没有对具体实施措施与效果评价提出要求，往往造成相关措施与计划只停留于纸面上。本标准除了在控制项提出应建立室内绿色装饰装修施工管理体系外，更注重具体措施的实施和落实，并对其效果进行评分，如本章6.2.18条对室内装饰装修施工人员生命健康具体保障措施进行评分，作为评分项看似降低了要求，其实达到本条款得分要求需要落实具体措施，是对三大管理体系特别是职业健康管理体系提出了更高的要求，保障室内装饰装修施工人员生命健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三大管理体系标准具体内容如下所示：</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ISO9000质量管理体系：以产品形成的过程要求为主线展开，要求组织在策划质量管理体系时，要制定质量方针，识别自己的产品、顾客和顾客对产品的要求，同时建立质量目标，为产品的实现进行策划。</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ISO 14000环境管理体系：促使企业在生产、经营活动中考虑其对环境的影响，减少环境负荷；促使企业节约能源，再生利用废弃物，降低经营成本；促使企业加强环境管理，增强企业员工的环境意识，促使企业自觉遵守环境法律、法规。</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OHSAS 18000职业健康和安全管理体系：</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1  通过管理减少及防止因意外而导致生命、财产、时间的损失，以及对环境的破坏；</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2  通过专业性的调查评估和相关法规要求的符合性鉴定，找出存在于企业的产品、服务、活动、工作环境中的危险源，针对危险源和风险制定适宜的控制计划，执行控制计划，定期检查评估职业健康安全规定与计划，建立包含组织结构、职责、培训、信息沟通、应急准备与响应等要素的管理体系，持续改进职业健康安全绩效。</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建立室内绿色装饰装修施工组织机构是指项目部成立专门的室内绿色装饰装修施工管理组织机构，完善管理体系和制度建设，根据预先设定的室内绿色装饰装修施工总目标，进行目标分解、实施和考核活动。比选优化施工方案，制定相应施工计划并严格执行，要求措施、进度和人员落实，实行过程和目标双控。项目经理为绿色施工第一责任人，负责绿色施工的组织实施及目标实现，并指定室内绿色装饰装修施工各级管理人员。</w:t>
      </w:r>
    </w:p>
    <w:p>
      <w:pPr>
        <w:adjustRightInd w:val="0"/>
        <w:spacing w:line="380" w:lineRule="atLeast"/>
        <w:ind w:firstLine="420" w:firstLineChars="200"/>
        <w:outlineLvl w:val="2"/>
        <w:rPr>
          <w:rFonts w:eastAsia="宋体" w:cs="黑体"/>
          <w:color w:val="000000"/>
          <w:szCs w:val="21"/>
        </w:rPr>
      </w:pPr>
      <w:r>
        <w:rPr>
          <w:rFonts w:eastAsia="华文仿宋"/>
          <w:color w:val="000000"/>
          <w:szCs w:val="21"/>
        </w:rPr>
        <w:t>室内绿色装饰装修施工管理体系、组织机构建立可参考图</w:t>
      </w:r>
      <w:r>
        <w:rPr>
          <w:rFonts w:hint="eastAsia" w:eastAsia="华文仿宋"/>
          <w:color w:val="000000"/>
          <w:szCs w:val="21"/>
        </w:rPr>
        <w:t>6.1.1</w:t>
      </w:r>
      <w:r>
        <w:rPr>
          <w:rFonts w:eastAsia="华文仿宋"/>
          <w:color w:val="000000"/>
          <w:szCs w:val="21"/>
        </w:rPr>
        <w:t>。</w:t>
      </w:r>
    </w:p>
    <w:p>
      <w:pPr>
        <w:adjustRightInd w:val="0"/>
        <w:spacing w:line="360" w:lineRule="atLeast"/>
        <w:jc w:val="center"/>
        <w:outlineLvl w:val="2"/>
        <w:rPr>
          <w:rFonts w:eastAsia="宋体" w:cs="黑体"/>
          <w:color w:val="000000"/>
          <w:sz w:val="24"/>
          <w:szCs w:val="21"/>
        </w:rPr>
      </w:pPr>
      <w:r>
        <w:rPr>
          <w:rFonts w:ascii="Times New Roman" w:hAnsi="Times New Roman" w:eastAsia="宋体" w:cs="黑体"/>
          <w:color w:val="000000"/>
          <w:kern w:val="2"/>
          <w:sz w:val="24"/>
          <w:szCs w:val="21"/>
          <w:lang w:val="en-US" w:eastAsia="zh-CN" w:bidi="ar-SA"/>
        </w:rPr>
        <w:pict>
          <v:shape id="图片 1" o:spid="_x0000_s1031" type="#_x0000_t75" style="height:222.95pt;width:291.2pt;rotation:0f;" o:ole="f" fillcolor="#FFFFFF" filled="f" o:preferrelative="t" stroked="f" coordorigin="0,0" coordsize="21600,21600">
            <v:fill on="f" color2="#FFFFFF" focus="0%"/>
            <v:imagedata cropright="608f" cropbottom="4832f" gain="65536f" blacklevel="0f" gamma="0" o:title="" r:id="rId11"/>
            <o:lock v:ext="edit" position="f" selection="f" grouping="f" rotation="f" cropping="f" text="f" aspectratio="t"/>
            <w10:wrap type="none"/>
            <w10:anchorlock/>
          </v:shape>
        </w:pict>
      </w:r>
    </w:p>
    <w:p>
      <w:pPr>
        <w:adjustRightInd w:val="0"/>
        <w:spacing w:line="380" w:lineRule="atLeast"/>
        <w:ind w:firstLine="420" w:firstLineChars="200"/>
        <w:jc w:val="center"/>
        <w:outlineLvl w:val="2"/>
        <w:rPr>
          <w:rFonts w:eastAsia="宋体"/>
          <w:color w:val="000000"/>
          <w:szCs w:val="21"/>
        </w:rPr>
      </w:pPr>
      <w:r>
        <w:rPr>
          <w:rFonts w:eastAsia="宋体"/>
          <w:color w:val="000000"/>
          <w:szCs w:val="21"/>
        </w:rPr>
        <w:t>图</w:t>
      </w:r>
      <w:r>
        <w:rPr>
          <w:rFonts w:hint="eastAsia" w:eastAsia="宋体"/>
          <w:color w:val="000000"/>
          <w:szCs w:val="21"/>
        </w:rPr>
        <w:t>6.1.1</w:t>
      </w:r>
      <w:r>
        <w:rPr>
          <w:rFonts w:eastAsia="宋体"/>
          <w:color w:val="000000"/>
          <w:szCs w:val="21"/>
        </w:rPr>
        <w:t xml:space="preserve">  </w:t>
      </w:r>
      <w:r>
        <w:rPr>
          <w:rFonts w:hint="eastAsia" w:eastAsia="宋体"/>
          <w:color w:val="000000"/>
          <w:szCs w:val="21"/>
        </w:rPr>
        <w:t>室</w:t>
      </w:r>
      <w:r>
        <w:rPr>
          <w:rFonts w:eastAsia="宋体"/>
          <w:color w:val="000000"/>
          <w:szCs w:val="21"/>
        </w:rPr>
        <w:t>内绿色装饰装修工管理体系组织机构</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本条的评价方法为：评价查阅该项目组织机构的相关制度文件，在施工过程中各种主要活动的可证明记录，包括可证明时间、人物、事件的纸质和电子文件，影像资料等。</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.1.2</w:t>
      </w:r>
      <w:r>
        <w:rPr>
          <w:rFonts w:hint="eastAsia"/>
          <w:bCs/>
          <w:color w:val="000000"/>
          <w:sz w:val="21"/>
          <w:szCs w:val="21"/>
        </w:rPr>
        <w:t xml:space="preserve">  制定室内绿色装饰装修施工技术方案和保障绿色施工实施的技术措施。</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eastAsia="宋体"/>
          <w:color w:val="000000"/>
          <w:szCs w:val="21"/>
        </w:rPr>
        <w:t xml:space="preserve">6.1.2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规定了推行室内绿色装饰装修施工的技术措施，装饰施工项目部应制定室内绿色装饰装修施工全过程的环境保护技术方案，施工人员职业健康安全管理方案，并根据预先设定的绿色施工总目标，进行目标分解、实施和考核活动。装饰施工前应对设计文件进行绿色施工内容进行专项会审。</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本条的评价方法为：评价查阅该项目技术措相关制度文件，在施工过程中各种主要活动的可证明记录，包括可证明时间、人物、事件的纸质和电子文件，影像资料等</w:t>
      </w:r>
      <w:r>
        <w:rPr>
          <w:rFonts w:hint="eastAsia" w:eastAsia="华文仿宋"/>
          <w:color w:val="000000"/>
          <w:szCs w:val="21"/>
        </w:rPr>
        <w:t>。</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.1.</w:t>
      </w:r>
      <w:r>
        <w:rPr>
          <w:rFonts w:hint="eastAsia"/>
          <w:b/>
          <w:bCs/>
          <w:color w:val="000000"/>
          <w:sz w:val="21"/>
          <w:szCs w:val="21"/>
        </w:rPr>
        <w:t>3</w:t>
      </w:r>
      <w:r>
        <w:rPr>
          <w:rFonts w:hint="eastAsia"/>
          <w:bCs/>
          <w:color w:val="000000"/>
          <w:sz w:val="21"/>
          <w:szCs w:val="21"/>
        </w:rPr>
        <w:t xml:space="preserve">  室内装饰装修施工应符合现行国家、行业和地方的质量安全、绿色环保和文明施工等方面法律和规定。</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eastAsia="宋体"/>
          <w:b/>
          <w:color w:val="000000"/>
          <w:szCs w:val="21"/>
        </w:rPr>
        <w:t>6.1.3</w:t>
      </w:r>
      <w:r>
        <w:rPr>
          <w:rFonts w:eastAsia="宋体"/>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室内装饰装修施工全过程均需符合国家强制性标准、条文和规定，确保施工质量及施工过程施工人员的人身财产安全，相关标准包括但不限于：</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1  装饰装修施工质量验收规范</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《住宅室内装饰装修工程质量验收规范》JGJ/T 304、《住宅装饰装修工程施工规范GB 50327、《建筑装饰装修工程质量验收规范》GB 50210、《建筑地面工程施工质量验收规范)GB 50209、《智能建筑工程质量验收规范》GB 50339、《通风与空调工程施工质量验收规范》GB 50243、《建筑电气工程施工质量验收规范》GB 50303。</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2  环境保护相关国家标准</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《建筑施工场界噪声限值》GB 12523、《污水综合排放标准GB 8978、《建筑材料放射性核素限量》GB 6536、《民用建筑工程室内环境污染控制规范》GB 50325、《建筑施工场界噪声测量方法GB 12524、《室内装饰装修材料  人造板及其制品中甲醛释放限量GB 18580、《室内装饰装修材料  溶剂型木器涂料有害物质限量GB 18581、《室内装饰装修材料  内墙涂料中有害物质限量》GB 18582、《室内装饰装修材料  胶粘剂中有害物质限量》GB 18583、《室内装饰装修材料  木家具中有害物质限量》GB 18584、《室内装饰装修材料  壁纸中有害物质限量》GB 18585，《室内装饰装修材料  聚氯乙烯卷材地板中有害物质限量》GB 18586、《室内装饰装修材料  地毯、地毯衬垫及地毯胶粘剂中有害物质释放限量》GB 18587、《混凝土外加剂中释放氨限量》GB 18588。</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3  有毒有害危险化学品、易燃易爆化学品和危险废物的相关规定要求</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室内装饰装修施工中，对于有毒有害、易挥发、易燃易爆的材料和产品，符合国家和地方有关危险化学品、易燃易爆化学品和危险废物的相关要求，制定采购、运输、储存、发放使用等环节方面的管理制度，并符合以下相关规定：</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《危险化学品安全管理条例》（国务院令第591号）《民用爆炸物品安全管理条例》《民用爆炸物品生产许可证》《民用爆炸物品销售许可证》《民用爆炸物品购买许可证》《民用爆炸物品运输许可 证》《爆破作业单位许可证》《爆破作业人员许可证》《安全生产许可证条例》等。</w:t>
      </w:r>
    </w:p>
    <w:p>
      <w:pPr>
        <w:pStyle w:val="59"/>
        <w:spacing w:line="360" w:lineRule="exact"/>
        <w:ind w:firstLine="420"/>
        <w:rPr>
          <w:rFonts w:eastAsia="华文仿宋"/>
          <w:bCs/>
          <w:color w:val="000000"/>
          <w:sz w:val="21"/>
          <w:szCs w:val="21"/>
        </w:rPr>
      </w:pPr>
      <w:r>
        <w:rPr>
          <w:rFonts w:eastAsia="华文仿宋"/>
          <w:color w:val="000000"/>
          <w:sz w:val="21"/>
          <w:szCs w:val="21"/>
        </w:rPr>
        <w:t>本条的评价方法为：评价查阅该项目施工验收记录及监理日志、施工过程无违反强制性标准、条文和规定的事件发生、施工全过程无重大质量安全事故和无人员伤亡事故发生，查阅有毒有害、易挥发、易燃易爆的材料和产品的产品说明与使用说明书、生产企业生产、销售许可证、运输许可证书、储存安全措施文件、施工作业人员上岗证、废弃物处理文件。</w:t>
      </w:r>
    </w:p>
    <w:p>
      <w:pPr>
        <w:widowControl/>
        <w:spacing w:line="360" w:lineRule="exact"/>
        <w:rPr>
          <w:bCs/>
          <w:color w:val="000000"/>
          <w:szCs w:val="21"/>
        </w:rPr>
      </w:pPr>
      <w:r>
        <w:rPr>
          <w:rFonts w:hint="eastAsia"/>
          <w:b/>
          <w:bCs/>
          <w:color w:val="000000"/>
          <w:szCs w:val="21"/>
        </w:rPr>
        <w:t>6</w:t>
      </w:r>
      <w:r>
        <w:rPr>
          <w:b/>
          <w:bCs/>
          <w:color w:val="000000"/>
          <w:szCs w:val="21"/>
        </w:rPr>
        <w:t>.1.</w:t>
      </w:r>
      <w:r>
        <w:rPr>
          <w:rFonts w:hint="eastAsia"/>
          <w:b/>
          <w:bCs/>
          <w:color w:val="000000"/>
          <w:szCs w:val="21"/>
        </w:rPr>
        <w:t>4</w:t>
      </w:r>
      <w:r>
        <w:rPr>
          <w:rFonts w:hint="eastAsia"/>
          <w:bCs/>
          <w:color w:val="000000"/>
          <w:szCs w:val="21"/>
        </w:rPr>
        <w:t xml:space="preserve">  室内交付前有第三方环境检测合格并有权威部门的检测 报告。</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color w:val="000000"/>
          <w:szCs w:val="21"/>
        </w:rPr>
        <w:t>6.1.4</w:t>
      </w:r>
      <w:r>
        <w:rPr>
          <w:rFonts w:eastAsia="宋体"/>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本条款主要针对室内空气质量检测验收。</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本条的评价方法为:评价提供项目</w:t>
      </w:r>
      <w:r>
        <w:rPr>
          <w:rFonts w:hint="eastAsia" w:eastAsia="华文仿宋"/>
          <w:color w:val="000000"/>
          <w:szCs w:val="21"/>
        </w:rPr>
        <w:t>提供检测</w:t>
      </w:r>
      <w:r>
        <w:rPr>
          <w:rFonts w:eastAsia="华文仿宋"/>
          <w:color w:val="000000"/>
          <w:szCs w:val="21"/>
        </w:rPr>
        <w:t>报告。</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.1.</w:t>
      </w:r>
      <w:r>
        <w:rPr>
          <w:rFonts w:hint="eastAsia"/>
          <w:b/>
          <w:bCs/>
          <w:color w:val="000000"/>
          <w:sz w:val="21"/>
          <w:szCs w:val="21"/>
        </w:rPr>
        <w:t>5</w:t>
      </w:r>
      <w:r>
        <w:rPr>
          <w:rFonts w:hint="eastAsia"/>
          <w:bCs/>
          <w:color w:val="000000"/>
          <w:sz w:val="21"/>
          <w:szCs w:val="21"/>
        </w:rPr>
        <w:t xml:space="preserve">  室内全装修工程项目验收时，应检查和完备下列资料和记录：</w:t>
      </w:r>
      <w:r>
        <w:rPr>
          <w:bCs/>
          <w:color w:val="000000"/>
          <w:sz w:val="21"/>
          <w:szCs w:val="21"/>
        </w:rPr>
        <w:t xml:space="preserve"> </w:t>
      </w:r>
    </w:p>
    <w:p>
      <w:pPr>
        <w:pStyle w:val="59"/>
        <w:spacing w:line="360" w:lineRule="exact"/>
        <w:ind w:firstLine="422"/>
        <w:rPr>
          <w:bCs/>
          <w:color w:val="000000"/>
          <w:sz w:val="21"/>
          <w:szCs w:val="21"/>
        </w:rPr>
      </w:pPr>
      <w:r>
        <w:rPr>
          <w:b/>
          <w:bCs/>
          <w:color w:val="000000"/>
          <w:sz w:val="21"/>
          <w:szCs w:val="21"/>
        </w:rPr>
        <w:t>1</w:t>
      </w:r>
      <w:r>
        <w:rPr>
          <w:rFonts w:hint="eastAsia"/>
          <w:b/>
          <w:bCs/>
          <w:color w:val="000000"/>
          <w:sz w:val="21"/>
          <w:szCs w:val="21"/>
        </w:rPr>
        <w:t xml:space="preserve">  </w:t>
      </w:r>
      <w:r>
        <w:rPr>
          <w:rFonts w:hint="eastAsia"/>
          <w:bCs/>
          <w:color w:val="000000"/>
          <w:sz w:val="21"/>
          <w:szCs w:val="21"/>
        </w:rPr>
        <w:t>审查合格获批准的施工竣工图纸及相关文件，绿色全装修设计说明文件，以及施工过程中的设计变更；</w:t>
      </w:r>
    </w:p>
    <w:p>
      <w:pPr>
        <w:pStyle w:val="59"/>
        <w:spacing w:line="360" w:lineRule="exact"/>
        <w:ind w:firstLine="422"/>
        <w:rPr>
          <w:bCs/>
          <w:color w:val="000000"/>
          <w:sz w:val="21"/>
          <w:szCs w:val="21"/>
        </w:rPr>
      </w:pPr>
      <w:r>
        <w:rPr>
          <w:rFonts w:hint="eastAsia"/>
          <w:b/>
          <w:bCs/>
          <w:color w:val="000000"/>
          <w:sz w:val="21"/>
          <w:szCs w:val="21"/>
        </w:rPr>
        <w:t xml:space="preserve">2  </w:t>
      </w:r>
      <w:r>
        <w:rPr>
          <w:rFonts w:hint="eastAsia"/>
          <w:bCs/>
          <w:color w:val="000000"/>
          <w:sz w:val="21"/>
          <w:szCs w:val="21"/>
        </w:rPr>
        <w:t>用于绿色全装修的材料和产品，均应具有出厂合格证、说明书、污染物和环保性能检测报告，进口材料和产品应具有符合规定的出入境商品检验报告、中文说明书、进场检验记录、抽查复检报告、见证取样送检报告；</w:t>
      </w:r>
    </w:p>
    <w:p>
      <w:pPr>
        <w:pStyle w:val="59"/>
        <w:spacing w:line="360" w:lineRule="exact"/>
        <w:ind w:firstLine="422"/>
        <w:rPr>
          <w:bCs/>
          <w:color w:val="000000"/>
          <w:sz w:val="21"/>
          <w:szCs w:val="21"/>
        </w:rPr>
      </w:pPr>
      <w:r>
        <w:rPr>
          <w:rFonts w:hint="eastAsia"/>
          <w:b/>
          <w:bCs/>
          <w:color w:val="000000"/>
          <w:sz w:val="21"/>
          <w:szCs w:val="21"/>
        </w:rPr>
        <w:t>3</w:t>
      </w:r>
      <w:r>
        <w:rPr>
          <w:rFonts w:hint="eastAsia"/>
          <w:bCs/>
          <w:color w:val="000000"/>
          <w:sz w:val="21"/>
          <w:szCs w:val="21"/>
        </w:rPr>
        <w:t xml:space="preserve">  绿色全装修有关的隐蔽工程验收以及施工记录和验收记录。</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b/>
          <w:bCs/>
          <w:color w:val="000000"/>
          <w:szCs w:val="21"/>
        </w:rPr>
        <w:t>6</w:t>
      </w:r>
      <w:r>
        <w:rPr>
          <w:b/>
          <w:bCs/>
          <w:color w:val="000000"/>
          <w:szCs w:val="21"/>
        </w:rPr>
        <w:t>.1.</w:t>
      </w:r>
      <w:r>
        <w:rPr>
          <w:rFonts w:hint="eastAsia"/>
          <w:b/>
          <w:bCs/>
          <w:color w:val="000000"/>
          <w:szCs w:val="21"/>
        </w:rPr>
        <w:t>5</w:t>
      </w:r>
      <w:r>
        <w:rPr>
          <w:rFonts w:hint="eastAsia"/>
          <w:bCs/>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hint="eastAsia" w:eastAsia="华文仿宋"/>
          <w:color w:val="000000"/>
          <w:szCs w:val="21"/>
        </w:rPr>
        <w:t>完整和真实的资料是施工过程符合设计、标准、规范的依据，也是施工过程记录的反映，因此完整和真实的施工资料、验收报告以及相应产品的说明书是工程竣工验收的基本条件。</w:t>
      </w:r>
    </w:p>
    <w:p>
      <w:pPr>
        <w:adjustRightInd w:val="0"/>
        <w:spacing w:line="380" w:lineRule="atLeast"/>
        <w:ind w:firstLine="420" w:firstLineChars="200"/>
        <w:outlineLvl w:val="2"/>
        <w:rPr>
          <w:rFonts w:eastAsia="华文仿宋"/>
          <w:color w:val="000000"/>
          <w:szCs w:val="21"/>
        </w:rPr>
      </w:pPr>
      <w:r>
        <w:rPr>
          <w:rFonts w:hint="eastAsia" w:eastAsia="华文仿宋"/>
          <w:color w:val="000000"/>
          <w:szCs w:val="21"/>
        </w:rPr>
        <w:t>本条的评价方法为：评价提供条款中各款提及的资料与报告。</w:t>
      </w:r>
    </w:p>
    <w:p>
      <w:pPr>
        <w:snapToGrid w:val="0"/>
        <w:spacing w:before="100" w:beforeAutospacing="1" w:after="100" w:afterAutospacing="1" w:line="360" w:lineRule="atLeast"/>
        <w:jc w:val="center"/>
        <w:outlineLvl w:val="1"/>
        <w:rPr>
          <w:rFonts w:eastAsia="黑体"/>
          <w:color w:val="000000"/>
        </w:rPr>
      </w:pPr>
      <w:bookmarkStart w:id="113" w:name="_Toc433209300"/>
      <w:r>
        <w:rPr>
          <w:rFonts w:hint="eastAsia" w:eastAsia="黑体"/>
          <w:b/>
          <w:color w:val="000000"/>
        </w:rPr>
        <w:t>6</w:t>
      </w:r>
      <w:r>
        <w:rPr>
          <w:rFonts w:eastAsia="黑体"/>
          <w:b/>
          <w:color w:val="000000"/>
        </w:rPr>
        <w:t>.2</w:t>
      </w:r>
      <w:r>
        <w:rPr>
          <w:rFonts w:eastAsia="黑体"/>
          <w:color w:val="000000"/>
        </w:rPr>
        <w:t xml:space="preserve">  </w:t>
      </w:r>
      <w:bookmarkEnd w:id="113"/>
      <w:r>
        <w:rPr>
          <w:rFonts w:hint="eastAsia" w:eastAsia="黑体"/>
          <w:color w:val="000000"/>
        </w:rPr>
        <w:t>评分项</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Ⅰ  环境保护</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1 </w:t>
      </w:r>
      <w:r>
        <w:rPr>
          <w:rFonts w:hint="eastAsia"/>
          <w:bCs/>
          <w:color w:val="000000"/>
          <w:sz w:val="21"/>
          <w:szCs w:val="21"/>
        </w:rPr>
        <w:t xml:space="preserve"> 在室内全装修施工中实施防尘抑尘措施，评价总分值为8分，并按下列规则分别评分并累计：</w:t>
      </w:r>
    </w:p>
    <w:p>
      <w:pPr>
        <w:pStyle w:val="59"/>
        <w:spacing w:line="360" w:lineRule="exact"/>
        <w:ind w:firstLine="422"/>
        <w:rPr>
          <w:bCs/>
          <w:color w:val="000000"/>
          <w:sz w:val="21"/>
          <w:szCs w:val="21"/>
        </w:rPr>
      </w:pPr>
      <w:r>
        <w:rPr>
          <w:b/>
          <w:bCs/>
          <w:color w:val="000000"/>
          <w:sz w:val="21"/>
          <w:szCs w:val="21"/>
        </w:rPr>
        <w:t>1</w:t>
      </w:r>
      <w:r>
        <w:rPr>
          <w:rFonts w:hint="eastAsia"/>
          <w:b/>
          <w:bCs/>
          <w:color w:val="000000"/>
          <w:sz w:val="21"/>
          <w:szCs w:val="21"/>
        </w:rPr>
        <w:t xml:space="preserve">  </w:t>
      </w:r>
      <w:r>
        <w:rPr>
          <w:rFonts w:hint="eastAsia"/>
          <w:bCs/>
          <w:color w:val="000000"/>
          <w:sz w:val="21"/>
          <w:szCs w:val="21"/>
        </w:rPr>
        <w:t>在开槽、钻孔、切割和打磨等施工环节时，采取防尘抑尘措施，得</w:t>
      </w:r>
      <w:r>
        <w:rPr>
          <w:bCs/>
          <w:color w:val="000000"/>
          <w:sz w:val="21"/>
          <w:szCs w:val="21"/>
        </w:rPr>
        <w:t>2</w:t>
      </w:r>
      <w:r>
        <w:rPr>
          <w:rFonts w:hint="eastAsia"/>
          <w:bCs/>
          <w:color w:val="000000"/>
          <w:sz w:val="21"/>
          <w:szCs w:val="21"/>
        </w:rPr>
        <w:t>分；</w:t>
      </w:r>
    </w:p>
    <w:p>
      <w:pPr>
        <w:pStyle w:val="59"/>
        <w:spacing w:line="360" w:lineRule="exact"/>
        <w:ind w:firstLine="420" w:firstLineChars="0"/>
        <w:rPr>
          <w:bCs/>
          <w:color w:val="000000"/>
          <w:sz w:val="21"/>
          <w:szCs w:val="21"/>
        </w:rPr>
      </w:pPr>
      <w:r>
        <w:rPr>
          <w:b/>
          <w:bCs/>
          <w:color w:val="000000"/>
          <w:sz w:val="21"/>
          <w:szCs w:val="21"/>
        </w:rPr>
        <w:t>2</w:t>
      </w:r>
      <w:r>
        <w:rPr>
          <w:rFonts w:hint="eastAsia"/>
          <w:b/>
          <w:bCs/>
          <w:color w:val="000000"/>
          <w:sz w:val="21"/>
          <w:szCs w:val="21"/>
        </w:rPr>
        <w:t xml:space="preserve">  </w:t>
      </w:r>
      <w:r>
        <w:rPr>
          <w:rFonts w:hint="eastAsia"/>
          <w:bCs/>
          <w:color w:val="000000"/>
          <w:sz w:val="21"/>
          <w:szCs w:val="21"/>
        </w:rPr>
        <w:t>对易产生扬尘的室内施工作业区域采取定期洒水、封闭或通风吸尘等措施，得</w:t>
      </w:r>
      <w:r>
        <w:rPr>
          <w:bCs/>
          <w:color w:val="000000"/>
          <w:sz w:val="21"/>
          <w:szCs w:val="21"/>
        </w:rPr>
        <w:t>2</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 xml:space="preserve">3  </w:t>
      </w:r>
      <w:r>
        <w:rPr>
          <w:rFonts w:hint="eastAsia"/>
          <w:bCs/>
          <w:color w:val="000000"/>
          <w:sz w:val="21"/>
          <w:szCs w:val="21"/>
        </w:rPr>
        <w:t>对易飞扬的细颗粒室内装饰装修材料采取遮盖、封存、余料及时回收的抑尘措施，得</w:t>
      </w:r>
      <w:r>
        <w:rPr>
          <w:bCs/>
          <w:color w:val="000000"/>
          <w:sz w:val="21"/>
          <w:szCs w:val="21"/>
        </w:rPr>
        <w:t>2</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4</w:t>
      </w:r>
      <w:r>
        <w:rPr>
          <w:rFonts w:hint="eastAsia"/>
          <w:bCs/>
          <w:color w:val="000000"/>
          <w:sz w:val="21"/>
          <w:szCs w:val="21"/>
        </w:rPr>
        <w:t xml:space="preserve">  高空清运室内装饰装修垃圾采用封闭式管道或垂直运输机械完成，得</w:t>
      </w:r>
      <w:r>
        <w:rPr>
          <w:bCs/>
          <w:color w:val="000000"/>
          <w:sz w:val="21"/>
          <w:szCs w:val="21"/>
        </w:rPr>
        <w:t>2</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1 </w:t>
      </w:r>
      <w:r>
        <w:rPr>
          <w:rFonts w:hint="eastAsia"/>
          <w:bCs/>
          <w:color w:val="000000"/>
          <w:sz w:val="21"/>
          <w:szCs w:val="21"/>
        </w:rPr>
        <w:t xml:space="preserve"> </w:t>
      </w:r>
      <w:r>
        <w:rPr>
          <w:rFonts w:hint="eastAsia" w:eastAsia="华文仿宋"/>
          <w:color w:val="000000"/>
          <w:sz w:val="21"/>
          <w:szCs w:val="21"/>
        </w:rPr>
        <w:t>本条适用于各类民用建筑室内全装修的评价。</w:t>
      </w:r>
    </w:p>
    <w:p>
      <w:pPr>
        <w:pStyle w:val="59"/>
        <w:spacing w:line="380" w:lineRule="atLeast"/>
        <w:ind w:firstLine="420"/>
        <w:rPr>
          <w:rFonts w:eastAsia="华文仿宋"/>
          <w:color w:val="000000"/>
          <w:sz w:val="21"/>
          <w:szCs w:val="21"/>
        </w:rPr>
      </w:pPr>
      <w:r>
        <w:rPr>
          <w:rFonts w:eastAsia="华文仿宋"/>
          <w:color w:val="000000"/>
          <w:sz w:val="21"/>
          <w:szCs w:val="21"/>
        </w:rPr>
        <w:t>装饰装修施工现场产生扬尘，不但是室内空气主要污染源之一，而且有害于施工作业人员的身体健康，造成室内环境二次污染，采取有效的降尘措施和工艺，避免和控制扬尘现象发生。施工中应采取降尘措施，降低大气总悬浮颗粒物浓度。对产生扬尘的主要施工环节（开槽、钻孔、切割和打磨等）以及在拆除过程中采取防尘抑尘措施，如采用湿法施工、激光切割、设置隔离、酒水，拆除垃圾采取分类装袋等防扬尘运输措施等，并符合现行行业标准《建设工程施工现场环境与卫生标准》JGJ 146、《建筑拆除工程安全技术规范》JGJ 147规定，保障施工人员及周围环境不受扬尘影响。对施工区域内易飞扬的细颗粒室内装饰装修材料采取措施减少扬尘，高空清运垃圾同样需要采取措施，以免对周围环境造成不良影响。在日常施工过程中需指定专人专检，落实防尘抑尘措施的实施。</w:t>
      </w:r>
    </w:p>
    <w:p>
      <w:pPr>
        <w:pStyle w:val="59"/>
        <w:spacing w:line="380" w:lineRule="atLeast"/>
        <w:ind w:firstLine="420"/>
        <w:rPr>
          <w:rFonts w:eastAsia="华文仿宋"/>
          <w:color w:val="000000"/>
          <w:sz w:val="21"/>
          <w:szCs w:val="21"/>
        </w:rPr>
      </w:pPr>
      <w:r>
        <w:rPr>
          <w:rFonts w:eastAsia="华文仿宋"/>
          <w:color w:val="000000"/>
          <w:sz w:val="21"/>
          <w:szCs w:val="21"/>
        </w:rPr>
        <w:t>本条的评价方法为：评价査阅防尘抑尘措施实施记录、施工工序技术文件、影像、照片等文件</w:t>
      </w:r>
      <w:r>
        <w:rPr>
          <w:rFonts w:hint="eastAsia" w:eastAsia="华文仿宋"/>
          <w:color w:val="000000"/>
          <w:sz w:val="21"/>
          <w:szCs w:val="21"/>
        </w:rPr>
        <w:t>。</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2 </w:t>
      </w:r>
      <w:r>
        <w:rPr>
          <w:rFonts w:hint="eastAsia"/>
          <w:bCs/>
          <w:color w:val="000000"/>
          <w:sz w:val="21"/>
          <w:szCs w:val="21"/>
        </w:rPr>
        <w:t xml:space="preserve"> 在室内全装修施工中制定和实施废气排放控制措施，评价总分值为</w:t>
      </w:r>
      <w:r>
        <w:rPr>
          <w:bCs/>
          <w:color w:val="000000"/>
          <w:sz w:val="21"/>
          <w:szCs w:val="21"/>
        </w:rPr>
        <w:t>8</w:t>
      </w:r>
      <w:r>
        <w:rPr>
          <w:rFonts w:hint="eastAsia"/>
          <w:bCs/>
          <w:color w:val="000000"/>
          <w:sz w:val="21"/>
          <w:szCs w:val="21"/>
        </w:rPr>
        <w:t>分，并按下列规则分别评分并累计：</w:t>
      </w:r>
    </w:p>
    <w:p>
      <w:pPr>
        <w:pStyle w:val="59"/>
        <w:spacing w:line="360" w:lineRule="exact"/>
        <w:ind w:firstLine="422"/>
        <w:rPr>
          <w:bCs/>
          <w:color w:val="000000"/>
          <w:sz w:val="21"/>
          <w:szCs w:val="21"/>
        </w:rPr>
      </w:pPr>
      <w:r>
        <w:rPr>
          <w:rFonts w:hint="eastAsia"/>
          <w:b/>
          <w:bCs/>
          <w:color w:val="000000"/>
          <w:sz w:val="21"/>
          <w:szCs w:val="21"/>
        </w:rPr>
        <w:t>1</w:t>
      </w:r>
      <w:r>
        <w:rPr>
          <w:bCs/>
          <w:color w:val="000000"/>
          <w:sz w:val="21"/>
          <w:szCs w:val="21"/>
        </w:rPr>
        <w:t>  </w:t>
      </w:r>
      <w:r>
        <w:rPr>
          <w:rFonts w:hint="eastAsia"/>
          <w:bCs/>
          <w:color w:val="000000"/>
          <w:sz w:val="21"/>
          <w:szCs w:val="21"/>
        </w:rPr>
        <w:t>室内全装修项目使用的车辆、设备和设施废气排放符合国家和地方年检规定的排放标准，得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 xml:space="preserve">2  </w:t>
      </w:r>
      <w:r>
        <w:rPr>
          <w:rFonts w:hint="eastAsia"/>
          <w:bCs/>
          <w:color w:val="000000"/>
          <w:sz w:val="21"/>
          <w:szCs w:val="21"/>
        </w:rPr>
        <w:t>对电焊机、切割机等产生的不易封闭的排放废气，严格控制作业时间，排放符合现行国家标准《大气污染物综合排放标准》</w:t>
      </w:r>
      <w:r>
        <w:rPr>
          <w:bCs/>
          <w:color w:val="000000"/>
          <w:sz w:val="21"/>
          <w:szCs w:val="21"/>
        </w:rPr>
        <w:t>GB16297</w:t>
      </w:r>
      <w:r>
        <w:rPr>
          <w:rFonts w:hint="eastAsia"/>
          <w:bCs/>
          <w:color w:val="000000"/>
          <w:sz w:val="21"/>
          <w:szCs w:val="21"/>
        </w:rPr>
        <w:t>的规定，得</w:t>
      </w:r>
      <w:r>
        <w:rPr>
          <w:bCs/>
          <w:color w:val="000000"/>
          <w:sz w:val="21"/>
          <w:szCs w:val="21"/>
        </w:rPr>
        <w:t>5</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b/>
          <w:bCs/>
          <w:color w:val="000000"/>
          <w:szCs w:val="21"/>
        </w:rPr>
        <w:t>6</w:t>
      </w:r>
      <w:r>
        <w:rPr>
          <w:b/>
          <w:bCs/>
          <w:color w:val="000000"/>
          <w:szCs w:val="21"/>
        </w:rPr>
        <w:t>.</w:t>
      </w:r>
      <w:r>
        <w:rPr>
          <w:rFonts w:hint="eastAsia"/>
          <w:b/>
          <w:bCs/>
          <w:color w:val="000000"/>
          <w:szCs w:val="21"/>
        </w:rPr>
        <w:t>2</w:t>
      </w:r>
      <w:r>
        <w:rPr>
          <w:b/>
          <w:bCs/>
          <w:color w:val="000000"/>
          <w:szCs w:val="21"/>
        </w:rPr>
        <w:t>.</w:t>
      </w:r>
      <w:r>
        <w:rPr>
          <w:rFonts w:hint="eastAsia"/>
          <w:b/>
          <w:bCs/>
          <w:color w:val="000000"/>
          <w:szCs w:val="21"/>
        </w:rPr>
        <w:t xml:space="preserve">2 </w:t>
      </w:r>
      <w:r>
        <w:rPr>
          <w:rFonts w:hint="eastAsia"/>
          <w:bCs/>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室内装饰装修施工过程中产生的废气主要为材料运输车辆、施工设备和设施等运作时产生，特别是运输车辆。为了减少机动车污染物排放，环境保护部出台了《机动车环保检验管理规定》，各地方也相继出台了相关规定，如《北京市机动车环保检测管理办法》，因此装饰装修项目使用的车辆必须符合国家及地方出台的机动车环保检验管理规定。室内装饰装修项目使用设备和设施中主要是以燃油作为动力的机械设备，如：超重设备等废气排放符合国家和地方年检规定排放标准。</w:t>
      </w:r>
    </w:p>
    <w:p>
      <w:pPr>
        <w:adjustRightInd w:val="0"/>
        <w:spacing w:line="380" w:lineRule="atLeast"/>
        <w:outlineLvl w:val="2"/>
        <w:rPr>
          <w:rFonts w:eastAsia="华文仿宋"/>
          <w:color w:val="000000"/>
          <w:szCs w:val="21"/>
        </w:rPr>
      </w:pPr>
      <w:r>
        <w:rPr>
          <w:rFonts w:eastAsia="华文仿宋"/>
          <w:color w:val="000000"/>
          <w:szCs w:val="21"/>
        </w:rPr>
        <w:t>在使用产生废气排放的设备，合理安排施工工序，严格控制使用时间，减少废气排放对周边环境及居民的影响。</w:t>
      </w:r>
    </w:p>
    <w:p>
      <w:pPr>
        <w:pStyle w:val="59"/>
        <w:spacing w:line="360" w:lineRule="exact"/>
        <w:ind w:firstLine="420" w:firstLineChars="0"/>
        <w:rPr>
          <w:bCs/>
          <w:color w:val="000000"/>
          <w:sz w:val="21"/>
          <w:szCs w:val="21"/>
        </w:rPr>
      </w:pPr>
      <w:r>
        <w:rPr>
          <w:rFonts w:eastAsia="华文仿宋"/>
          <w:color w:val="000000"/>
          <w:sz w:val="21"/>
          <w:szCs w:val="21"/>
        </w:rPr>
        <w:t>本条的评价方法为：评价查阅提交施工过程运输</w:t>
      </w:r>
      <w:r>
        <w:rPr>
          <w:rFonts w:hint="eastAsia" w:eastAsia="华文仿宋"/>
          <w:color w:val="000000"/>
          <w:sz w:val="21"/>
          <w:szCs w:val="21"/>
        </w:rPr>
        <w:t>车辆</w:t>
      </w:r>
      <w:r>
        <w:rPr>
          <w:rFonts w:eastAsia="华文仿宋"/>
          <w:color w:val="000000"/>
          <w:sz w:val="21"/>
          <w:szCs w:val="21"/>
        </w:rPr>
        <w:t>年检合格证明、特种设备年检记录、机械设备说明书。</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3 </w:t>
      </w:r>
      <w:r>
        <w:rPr>
          <w:rFonts w:hint="eastAsia"/>
          <w:bCs/>
          <w:color w:val="000000"/>
          <w:sz w:val="21"/>
          <w:szCs w:val="21"/>
        </w:rPr>
        <w:t xml:space="preserve"> 在室内全装修施工中制定和实施噪声控制措施，评价总分值为</w:t>
      </w:r>
      <w:r>
        <w:rPr>
          <w:bCs/>
          <w:color w:val="000000"/>
          <w:sz w:val="21"/>
          <w:szCs w:val="21"/>
        </w:rPr>
        <w:t>15</w:t>
      </w:r>
      <w:r>
        <w:rPr>
          <w:rFonts w:hint="eastAsia"/>
          <w:bCs/>
          <w:color w:val="000000"/>
          <w:sz w:val="21"/>
          <w:szCs w:val="21"/>
        </w:rPr>
        <w:t>分，按下列规则分别评分并累计：</w:t>
      </w:r>
    </w:p>
    <w:p>
      <w:pPr>
        <w:pStyle w:val="59"/>
        <w:spacing w:line="360" w:lineRule="exact"/>
        <w:ind w:firstLine="420" w:firstLineChars="0"/>
        <w:rPr>
          <w:bCs/>
          <w:color w:val="000000"/>
          <w:sz w:val="21"/>
          <w:szCs w:val="21"/>
        </w:rPr>
      </w:pPr>
      <w:r>
        <w:rPr>
          <w:b/>
          <w:bCs/>
          <w:color w:val="000000"/>
          <w:sz w:val="21"/>
          <w:szCs w:val="21"/>
        </w:rPr>
        <w:t>1</w:t>
      </w:r>
      <w:r>
        <w:rPr>
          <w:rFonts w:hint="eastAsia"/>
          <w:b/>
          <w:bCs/>
          <w:color w:val="000000"/>
          <w:sz w:val="21"/>
          <w:szCs w:val="21"/>
        </w:rPr>
        <w:t xml:space="preserve">  </w:t>
      </w:r>
      <w:r>
        <w:rPr>
          <w:rFonts w:hint="eastAsia"/>
          <w:bCs/>
          <w:color w:val="000000"/>
          <w:sz w:val="21"/>
          <w:szCs w:val="21"/>
        </w:rPr>
        <w:t>在拆除、预埋、剔凿、打磨和切割等施工环节，采取降噪、隔声和吸声措施，得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b/>
          <w:bCs/>
          <w:color w:val="000000"/>
          <w:sz w:val="21"/>
          <w:szCs w:val="21"/>
        </w:rPr>
        <w:t>2</w:t>
      </w:r>
      <w:r>
        <w:rPr>
          <w:rFonts w:hint="eastAsia"/>
          <w:b/>
          <w:bCs/>
          <w:color w:val="000000"/>
          <w:sz w:val="21"/>
          <w:szCs w:val="21"/>
        </w:rPr>
        <w:t xml:space="preserve">  </w:t>
      </w:r>
      <w:r>
        <w:rPr>
          <w:rFonts w:hint="eastAsia"/>
          <w:bCs/>
          <w:color w:val="000000"/>
          <w:sz w:val="21"/>
          <w:szCs w:val="21"/>
        </w:rPr>
        <w:t>室内装饰装修项目使用低噪声、低振动的施工设备和机具，严格按照操作使用规程，得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b/>
          <w:bCs/>
          <w:color w:val="000000"/>
          <w:sz w:val="21"/>
          <w:szCs w:val="21"/>
        </w:rPr>
        <w:t>3</w:t>
      </w:r>
      <w:r>
        <w:rPr>
          <w:rFonts w:hint="eastAsia"/>
          <w:b/>
          <w:bCs/>
          <w:color w:val="000000"/>
          <w:sz w:val="21"/>
          <w:szCs w:val="21"/>
        </w:rPr>
        <w:t xml:space="preserve">  </w:t>
      </w:r>
      <w:r>
        <w:rPr>
          <w:rFonts w:hint="eastAsia"/>
          <w:bCs/>
          <w:color w:val="000000"/>
          <w:sz w:val="21"/>
          <w:szCs w:val="21"/>
        </w:rPr>
        <w:t>对噪声控制要求较高的区域，采取加设降噪安全围帘、包裹或完全封闭噪声施工作业场所等措施，得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 xml:space="preserve">4  </w:t>
      </w:r>
      <w:r>
        <w:rPr>
          <w:rFonts w:hint="eastAsia"/>
          <w:bCs/>
          <w:color w:val="000000"/>
          <w:sz w:val="21"/>
          <w:szCs w:val="21"/>
        </w:rPr>
        <w:t>对空压机、切割机等噪声不易封闭的机具和产生超标噪声污染的施工作业，严格控制作业时间，避免和减少噪声的影响，得</w:t>
      </w:r>
      <w:r>
        <w:rPr>
          <w:bCs/>
          <w:color w:val="000000"/>
          <w:sz w:val="21"/>
          <w:szCs w:val="21"/>
        </w:rPr>
        <w:t>3</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 xml:space="preserve">5  </w:t>
      </w:r>
      <w:r>
        <w:rPr>
          <w:rFonts w:hint="eastAsia"/>
          <w:bCs/>
          <w:color w:val="000000"/>
          <w:sz w:val="21"/>
          <w:szCs w:val="21"/>
        </w:rPr>
        <w:t>对室内装饰装修主要施工作业区域进行日常噪声控制检查，实施现场实时监测记录，噪声排放限值满足现行国家标准《建筑施工场界环境噪声排放标准》</w:t>
      </w:r>
      <w:r>
        <w:rPr>
          <w:bCs/>
          <w:color w:val="000000"/>
          <w:sz w:val="21"/>
          <w:szCs w:val="21"/>
        </w:rPr>
        <w:t>GB12523</w:t>
      </w:r>
      <w:r>
        <w:rPr>
          <w:rFonts w:hint="eastAsia"/>
          <w:bCs/>
          <w:color w:val="000000"/>
          <w:sz w:val="21"/>
          <w:szCs w:val="21"/>
        </w:rPr>
        <w:t>的规定，得</w:t>
      </w:r>
      <w:r>
        <w:rPr>
          <w:bCs/>
          <w:color w:val="000000"/>
          <w:sz w:val="21"/>
          <w:szCs w:val="21"/>
        </w:rPr>
        <w:t>3</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b/>
          <w:bCs/>
          <w:color w:val="000000"/>
          <w:szCs w:val="21"/>
        </w:rPr>
        <w:t>6</w:t>
      </w:r>
      <w:r>
        <w:rPr>
          <w:b/>
          <w:bCs/>
          <w:color w:val="000000"/>
          <w:szCs w:val="21"/>
        </w:rPr>
        <w:t>.</w:t>
      </w:r>
      <w:r>
        <w:rPr>
          <w:rFonts w:hint="eastAsia"/>
          <w:b/>
          <w:bCs/>
          <w:color w:val="000000"/>
          <w:szCs w:val="21"/>
        </w:rPr>
        <w:t>2</w:t>
      </w:r>
      <w:r>
        <w:rPr>
          <w:b/>
          <w:bCs/>
          <w:color w:val="000000"/>
          <w:szCs w:val="21"/>
        </w:rPr>
        <w:t>.</w:t>
      </w:r>
      <w:r>
        <w:rPr>
          <w:rFonts w:hint="eastAsia"/>
          <w:b/>
          <w:bCs/>
          <w:color w:val="000000"/>
          <w:szCs w:val="21"/>
        </w:rPr>
        <w:t xml:space="preserve">3 </w:t>
      </w:r>
      <w:r>
        <w:rPr>
          <w:rFonts w:hint="eastAsia"/>
          <w:bCs/>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outlineLvl w:val="2"/>
        <w:rPr>
          <w:rFonts w:eastAsia="华文仿宋"/>
          <w:color w:val="000000"/>
          <w:szCs w:val="21"/>
        </w:rPr>
      </w:pPr>
      <w:r>
        <w:rPr>
          <w:rFonts w:eastAsia="华文仿宋"/>
          <w:color w:val="000000"/>
          <w:szCs w:val="21"/>
        </w:rPr>
        <w:t xml:space="preserve">    </w:t>
      </w:r>
      <w:r>
        <w:rPr>
          <w:rFonts w:hint="eastAsia" w:eastAsia="华文仿宋"/>
          <w:color w:val="000000"/>
          <w:szCs w:val="21"/>
        </w:rPr>
        <w:t>施工产生</w:t>
      </w:r>
      <w:r>
        <w:rPr>
          <w:rFonts w:eastAsia="华文仿宋"/>
          <w:color w:val="000000"/>
          <w:szCs w:val="21"/>
        </w:rPr>
        <w:t>的噪声是影响周边居民生活的主要因素之一，也是居民投诉的主要对象。国家标准《建筑施工场界环境噪声排放标准)GB 12523—2011对噪声的测量、限值作出了具体的规定，是施工噪声排放管理的依据。为了减低施工噪声排放，应采取降低噪声和噪声传播的有效措施，包括对产生噪声重点工序、重点区域进行重点控制采取措施降噪，采取采用低噪声设备，运用吸声、消声隔声、隔振等降噪措施，降低施工机械噪声，建立施工场界噪声管理机制，并严格执行。室内装饰装修工程项目主要设备机具及主要污染源见表</w:t>
      </w:r>
      <w:r>
        <w:rPr>
          <w:rFonts w:hint="eastAsia" w:eastAsia="华文仿宋"/>
          <w:bCs/>
          <w:color w:val="000000"/>
          <w:szCs w:val="21"/>
        </w:rPr>
        <w:t>6</w:t>
      </w:r>
      <w:r>
        <w:rPr>
          <w:rFonts w:eastAsia="华文仿宋"/>
          <w:bCs/>
          <w:color w:val="000000"/>
          <w:szCs w:val="21"/>
        </w:rPr>
        <w:t>.</w:t>
      </w:r>
      <w:r>
        <w:rPr>
          <w:rFonts w:hint="eastAsia" w:eastAsia="华文仿宋"/>
          <w:bCs/>
          <w:color w:val="000000"/>
          <w:szCs w:val="21"/>
        </w:rPr>
        <w:t>2</w:t>
      </w:r>
      <w:r>
        <w:rPr>
          <w:rFonts w:eastAsia="华文仿宋"/>
          <w:bCs/>
          <w:color w:val="000000"/>
          <w:szCs w:val="21"/>
        </w:rPr>
        <w:t>.</w:t>
      </w:r>
      <w:r>
        <w:rPr>
          <w:rFonts w:hint="eastAsia" w:eastAsia="华文仿宋"/>
          <w:bCs/>
          <w:color w:val="000000"/>
          <w:szCs w:val="21"/>
        </w:rPr>
        <w:t>3</w:t>
      </w:r>
      <w:r>
        <w:rPr>
          <w:rFonts w:eastAsia="华文仿宋"/>
          <w:color w:val="000000"/>
          <w:szCs w:val="21"/>
        </w:rPr>
        <w:t>所示。</w:t>
      </w:r>
    </w:p>
    <w:p>
      <w:pPr>
        <w:adjustRightInd w:val="0"/>
        <w:spacing w:line="380" w:lineRule="atLeast"/>
        <w:jc w:val="center"/>
        <w:outlineLvl w:val="2"/>
        <w:rPr>
          <w:rFonts w:eastAsia="黑体"/>
          <w:color w:val="000000"/>
          <w:sz w:val="18"/>
          <w:szCs w:val="18"/>
        </w:rPr>
      </w:pPr>
      <w:r>
        <w:rPr>
          <w:rFonts w:eastAsia="黑体"/>
          <w:color w:val="000000"/>
          <w:sz w:val="18"/>
          <w:szCs w:val="18"/>
        </w:rPr>
        <w:t>表</w:t>
      </w:r>
      <w:r>
        <w:rPr>
          <w:rFonts w:hint="eastAsia" w:eastAsia="黑体"/>
          <w:bCs/>
          <w:color w:val="000000"/>
          <w:sz w:val="18"/>
          <w:szCs w:val="18"/>
        </w:rPr>
        <w:t>6</w:t>
      </w:r>
      <w:r>
        <w:rPr>
          <w:rFonts w:eastAsia="黑体"/>
          <w:bCs/>
          <w:color w:val="000000"/>
          <w:sz w:val="18"/>
          <w:szCs w:val="18"/>
        </w:rPr>
        <w:t>.</w:t>
      </w:r>
      <w:r>
        <w:rPr>
          <w:rFonts w:hint="eastAsia" w:eastAsia="黑体"/>
          <w:bCs/>
          <w:color w:val="000000"/>
          <w:sz w:val="18"/>
          <w:szCs w:val="18"/>
        </w:rPr>
        <w:t>2</w:t>
      </w:r>
      <w:r>
        <w:rPr>
          <w:rFonts w:eastAsia="黑体"/>
          <w:bCs/>
          <w:color w:val="000000"/>
          <w:sz w:val="18"/>
          <w:szCs w:val="18"/>
        </w:rPr>
        <w:t>.</w:t>
      </w:r>
      <w:r>
        <w:rPr>
          <w:rFonts w:hint="eastAsia" w:eastAsia="黑体"/>
          <w:bCs/>
          <w:color w:val="000000"/>
          <w:sz w:val="18"/>
          <w:szCs w:val="18"/>
        </w:rPr>
        <w:t>3</w:t>
      </w:r>
      <w:r>
        <w:rPr>
          <w:rFonts w:hint="eastAsia" w:eastAsia="黑体"/>
          <w:b/>
          <w:bCs/>
          <w:color w:val="000000"/>
          <w:sz w:val="18"/>
          <w:szCs w:val="18"/>
        </w:rPr>
        <w:t xml:space="preserve"> </w:t>
      </w:r>
      <w:r>
        <w:rPr>
          <w:rFonts w:hint="eastAsia" w:eastAsia="黑体"/>
          <w:bCs/>
          <w:color w:val="000000"/>
          <w:sz w:val="18"/>
          <w:szCs w:val="18"/>
        </w:rPr>
        <w:t xml:space="preserve"> </w:t>
      </w:r>
      <w:r>
        <w:rPr>
          <w:rFonts w:eastAsia="黑体"/>
          <w:color w:val="000000"/>
          <w:sz w:val="18"/>
          <w:szCs w:val="18"/>
        </w:rPr>
        <w:t xml:space="preserve">  内装饰装修工程项目主设备机具及主污染</w:t>
      </w:r>
      <w:r>
        <w:rPr>
          <w:rFonts w:hint="eastAsia" w:eastAsia="黑体"/>
          <w:color w:val="000000"/>
          <w:sz w:val="18"/>
          <w:szCs w:val="18"/>
        </w:rPr>
        <w:t>量</w:t>
      </w:r>
    </w:p>
    <w:tbl>
      <w:tblPr>
        <w:tblStyle w:val="151"/>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43"/>
        <w:gridCol w:w="2314"/>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序号</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设备机具</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 污染源</w:t>
            </w:r>
          </w:p>
        </w:tc>
        <w:tc>
          <w:tcPr>
            <w:tcW w:w="1578"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 主要污染源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08" w:type="dxa"/>
            <w:gridSpan w:val="3"/>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电动工具</w:t>
            </w:r>
          </w:p>
        </w:tc>
        <w:tc>
          <w:tcPr>
            <w:tcW w:w="1578" w:type="dxa"/>
            <w:vMerge w:val="restart"/>
            <w:vAlign w:val="center"/>
          </w:tcPr>
          <w:p>
            <w:pPr>
              <w:adjustRightInd w:val="0"/>
              <w:spacing w:line="380" w:lineRule="atLeast"/>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噪声、粉尘、气味、烟气</w:t>
            </w:r>
            <w:r>
              <w:rPr>
                <w:rFonts w:hint="eastAsia" w:ascii="Calibri" w:hAnsi="Calibri" w:eastAsia="宋体" w:cs="黑体"/>
                <w:color w:val="000000"/>
                <w:kern w:val="2"/>
                <w:sz w:val="15"/>
                <w:szCs w:val="15"/>
              </w:rPr>
              <w:t>、油污染、电辐射</w:t>
            </w:r>
            <w:r>
              <w:rPr>
                <w:rFonts w:ascii="Calibri" w:hAnsi="Calibri" w:eastAsia="宋体" w:cs="黑体"/>
                <w:color w:val="000000"/>
                <w:kern w:val="2"/>
                <w:sz w:val="15"/>
                <w:szCs w:val="15"/>
              </w:rPr>
              <w:t>、</w:t>
            </w:r>
            <w:r>
              <w:rPr>
                <w:rFonts w:hint="eastAsia" w:ascii="Calibri" w:hAnsi="Calibri" w:eastAsia="宋体" w:cs="黑体"/>
                <w:color w:val="000000"/>
                <w:kern w:val="2"/>
                <w:sz w:val="15"/>
                <w:szCs w:val="15"/>
              </w:rPr>
              <w:t>光污染、五大有害气体（氡</w:t>
            </w:r>
            <w:r>
              <w:rPr>
                <w:rFonts w:ascii="Calibri" w:hAnsi="Calibri" w:eastAsia="宋体" w:cs="黑体"/>
                <w:color w:val="000000"/>
                <w:kern w:val="2"/>
                <w:sz w:val="15"/>
                <w:szCs w:val="15"/>
              </w:rPr>
              <w:t>、</w:t>
            </w:r>
            <w:r>
              <w:rPr>
                <w:rFonts w:hint="eastAsia" w:ascii="Calibri" w:hAnsi="Calibri" w:eastAsia="宋体" w:cs="黑体"/>
                <w:color w:val="000000"/>
                <w:kern w:val="2"/>
                <w:sz w:val="15"/>
                <w:szCs w:val="15"/>
              </w:rPr>
              <w:t>甲醛</w:t>
            </w:r>
            <w:r>
              <w:rPr>
                <w:rFonts w:ascii="Calibri" w:hAnsi="Calibri" w:eastAsia="宋体" w:cs="黑体"/>
                <w:color w:val="000000"/>
                <w:kern w:val="2"/>
                <w:sz w:val="15"/>
                <w:szCs w:val="15"/>
              </w:rPr>
              <w:t>、苯、氨、TVOC</w:t>
            </w:r>
            <w:r>
              <w:rPr>
                <w:rFonts w:hint="eastAsia" w:ascii="Calibri" w:hAnsi="Calibri" w:eastAsia="宋体" w:cs="黑体"/>
                <w:color w:val="000000"/>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1</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云石</w:t>
            </w:r>
            <w:r>
              <w:rPr>
                <w:rFonts w:hint="eastAsia" w:ascii="Calibri" w:hAnsi="Calibri" w:eastAsia="宋体" w:cs="黑体"/>
                <w:color w:val="000000"/>
                <w:kern w:val="2"/>
                <w:sz w:val="15"/>
                <w:szCs w:val="15"/>
              </w:rPr>
              <w:t>切割机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w:t>
            </w:r>
            <w:r>
              <w:rPr>
                <w:rFonts w:hint="eastAsia" w:ascii="Calibri" w:hAnsi="Calibri" w:eastAsia="宋体" w:cs="黑体"/>
                <w:color w:val="000000"/>
                <w:kern w:val="2"/>
                <w:sz w:val="15"/>
                <w:szCs w:val="15"/>
              </w:rPr>
              <w:t>、电辐射</w:t>
            </w:r>
            <w:r>
              <w:rPr>
                <w:rFonts w:ascii="Calibri" w:hAnsi="Calibri" w:eastAsia="宋体" w:cs="黑体"/>
                <w:color w:val="000000"/>
                <w:kern w:val="2"/>
                <w:sz w:val="15"/>
                <w:szCs w:val="15"/>
              </w:rPr>
              <w:t>、烟气、气味</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2</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砂轮切割机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w:t>
            </w:r>
            <w:r>
              <w:rPr>
                <w:rFonts w:hint="eastAsia" w:ascii="Calibri" w:hAnsi="Calibri" w:eastAsia="宋体" w:cs="黑体"/>
                <w:color w:val="000000"/>
                <w:kern w:val="2"/>
                <w:sz w:val="15"/>
                <w:szCs w:val="15"/>
              </w:rPr>
              <w:t>、电辐射</w:t>
            </w:r>
            <w:r>
              <w:rPr>
                <w:rFonts w:ascii="Calibri" w:hAnsi="Calibri" w:eastAsia="宋体" w:cs="黑体"/>
                <w:color w:val="000000"/>
                <w:kern w:val="2"/>
                <w:sz w:val="15"/>
                <w:szCs w:val="15"/>
              </w:rPr>
              <w:t>、烟气、气味</w:t>
            </w:r>
            <w:r>
              <w:rPr>
                <w:rFonts w:hint="eastAsia" w:ascii="Calibri" w:hAnsi="Calibri" w:eastAsia="宋体" w:cs="黑体"/>
                <w:color w:val="000000"/>
                <w:kern w:val="2"/>
                <w:sz w:val="15"/>
                <w:szCs w:val="15"/>
              </w:rPr>
              <w:t>、光污染</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3</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万象角磨机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w:t>
            </w:r>
            <w:r>
              <w:rPr>
                <w:rFonts w:hint="eastAsia" w:ascii="Calibri" w:hAnsi="Calibri" w:eastAsia="宋体" w:cs="黑体"/>
                <w:color w:val="000000"/>
                <w:kern w:val="2"/>
                <w:sz w:val="15"/>
                <w:szCs w:val="15"/>
              </w:rPr>
              <w:t>、电辐射</w:t>
            </w:r>
            <w:r>
              <w:rPr>
                <w:rFonts w:ascii="Calibri" w:hAnsi="Calibri" w:eastAsia="宋体" w:cs="黑体"/>
                <w:color w:val="000000"/>
                <w:kern w:val="2"/>
                <w:sz w:val="15"/>
                <w:szCs w:val="15"/>
              </w:rPr>
              <w:t>、烟气、气味</w:t>
            </w:r>
            <w:r>
              <w:rPr>
                <w:rFonts w:hint="eastAsia" w:ascii="Calibri" w:hAnsi="Calibri" w:eastAsia="宋体" w:cs="黑体"/>
                <w:color w:val="000000"/>
                <w:kern w:val="2"/>
                <w:sz w:val="15"/>
                <w:szCs w:val="15"/>
              </w:rPr>
              <w:t>、光污染</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4</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空气压缩机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噪声</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5</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电焊机 </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气味</w:t>
            </w:r>
            <w:r>
              <w:rPr>
                <w:rFonts w:hint="eastAsia" w:ascii="Calibri" w:hAnsi="Calibri" w:eastAsia="宋体" w:cs="黑体"/>
                <w:color w:val="000000"/>
                <w:kern w:val="2"/>
                <w:sz w:val="15"/>
                <w:szCs w:val="15"/>
              </w:rPr>
              <w:t>、电辐射</w:t>
            </w:r>
            <w:r>
              <w:rPr>
                <w:rFonts w:ascii="Calibri" w:hAnsi="Calibri" w:eastAsia="宋体" w:cs="黑体"/>
                <w:color w:val="000000"/>
                <w:kern w:val="2"/>
                <w:sz w:val="15"/>
                <w:szCs w:val="15"/>
              </w:rPr>
              <w:t>、</w:t>
            </w:r>
            <w:r>
              <w:rPr>
                <w:rFonts w:hint="eastAsia" w:ascii="Calibri" w:hAnsi="Calibri" w:eastAsia="宋体" w:cs="黑体"/>
                <w:color w:val="000000"/>
                <w:kern w:val="2"/>
                <w:sz w:val="15"/>
                <w:szCs w:val="15"/>
              </w:rPr>
              <w:t>光污染、</w:t>
            </w:r>
            <w:r>
              <w:rPr>
                <w:rFonts w:ascii="Calibri" w:hAnsi="Calibri" w:eastAsia="宋体" w:cs="黑体"/>
                <w:color w:val="000000"/>
                <w:kern w:val="2"/>
                <w:sz w:val="15"/>
                <w:szCs w:val="15"/>
              </w:rPr>
              <w:t>烟气</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6</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型材切割机（电锯）</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烟气、气味</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7</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打磨机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噪声、粉尘</w:t>
            </w:r>
            <w:r>
              <w:rPr>
                <w:rFonts w:hint="eastAsia" w:ascii="Calibri" w:hAnsi="Calibri" w:eastAsia="宋体" w:cs="黑体"/>
                <w:color w:val="000000"/>
                <w:kern w:val="2"/>
                <w:sz w:val="15"/>
                <w:szCs w:val="15"/>
              </w:rPr>
              <w:t>、</w:t>
            </w:r>
            <w:r>
              <w:rPr>
                <w:rFonts w:ascii="Calibri" w:hAnsi="Calibri" w:eastAsia="宋体" w:cs="黑体"/>
                <w:color w:val="000000"/>
                <w:kern w:val="2"/>
                <w:sz w:val="15"/>
                <w:szCs w:val="15"/>
              </w:rPr>
              <w:t>烟气、气味</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08" w:type="dxa"/>
            <w:gridSpan w:val="3"/>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气动工具</w:t>
            </w:r>
          </w:p>
        </w:tc>
        <w:tc>
          <w:tcPr>
            <w:tcW w:w="1578" w:type="dxa"/>
            <w:vMerge w:val="restart"/>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8</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射钉枪</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噪声</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9</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锣槽机</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噪声、粉尘</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10</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喷枪</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气味、烟气、噪声</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08" w:type="dxa"/>
            <w:gridSpan w:val="3"/>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起重工具</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1"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11</w:t>
            </w:r>
          </w:p>
        </w:tc>
        <w:tc>
          <w:tcPr>
            <w:tcW w:w="1243"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起重工具</w:t>
            </w:r>
          </w:p>
        </w:tc>
        <w:tc>
          <w:tcPr>
            <w:tcW w:w="2314"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油污染、噪声</w:t>
            </w:r>
          </w:p>
        </w:tc>
        <w:tc>
          <w:tcPr>
            <w:tcW w:w="1578" w:type="dxa"/>
            <w:vMerge w:val="continue"/>
            <w:vAlign w:val="center"/>
          </w:tcPr>
          <w:p>
            <w:pPr>
              <w:adjustRightInd w:val="0"/>
              <w:spacing w:line="380" w:lineRule="atLeast"/>
              <w:jc w:val="center"/>
              <w:outlineLvl w:val="2"/>
              <w:rPr>
                <w:rFonts w:ascii="Calibri" w:hAnsi="Calibri" w:eastAsia="宋体" w:cs="黑体"/>
                <w:color w:val="000000"/>
                <w:kern w:val="2"/>
                <w:sz w:val="15"/>
                <w:szCs w:val="15"/>
              </w:rPr>
            </w:pPr>
          </w:p>
        </w:tc>
      </w:tr>
    </w:tbl>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本条的评价方法为：评价查阅场界噪声测量记录，核实降噪设备、技术与措施，提交机具设备说明书，日常噪声记录表。</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4 </w:t>
      </w:r>
      <w:r>
        <w:rPr>
          <w:rFonts w:hint="eastAsia"/>
          <w:bCs/>
          <w:color w:val="000000"/>
          <w:sz w:val="21"/>
          <w:szCs w:val="21"/>
        </w:rPr>
        <w:t xml:space="preserve"> 在室内装饰装修施工中，实施光污染控制措施，评价总分值为</w:t>
      </w:r>
      <w:r>
        <w:rPr>
          <w:bCs/>
          <w:color w:val="000000"/>
          <w:sz w:val="21"/>
          <w:szCs w:val="21"/>
        </w:rPr>
        <w:t>8</w:t>
      </w:r>
      <w:r>
        <w:rPr>
          <w:rFonts w:hint="eastAsia"/>
          <w:bCs/>
          <w:color w:val="000000"/>
          <w:sz w:val="21"/>
          <w:szCs w:val="21"/>
        </w:rPr>
        <w:t>分，并按下列规则分别评分并累计：</w:t>
      </w:r>
      <w:r>
        <w:rPr>
          <w:bCs/>
          <w:color w:val="000000"/>
          <w:sz w:val="21"/>
          <w:szCs w:val="21"/>
        </w:rPr>
        <w:t> </w:t>
      </w:r>
    </w:p>
    <w:p>
      <w:pPr>
        <w:pStyle w:val="59"/>
        <w:spacing w:line="360" w:lineRule="exact"/>
        <w:ind w:firstLine="422"/>
        <w:rPr>
          <w:bCs/>
          <w:color w:val="000000"/>
          <w:sz w:val="21"/>
          <w:szCs w:val="21"/>
        </w:rPr>
      </w:pPr>
      <w:r>
        <w:rPr>
          <w:rFonts w:hint="eastAsia"/>
          <w:b/>
          <w:bCs/>
          <w:color w:val="000000"/>
          <w:sz w:val="21"/>
          <w:szCs w:val="21"/>
        </w:rPr>
        <w:t xml:space="preserve">1 </w:t>
      </w:r>
      <w:r>
        <w:rPr>
          <w:rFonts w:hint="eastAsia"/>
          <w:bCs/>
          <w:color w:val="000000"/>
          <w:sz w:val="21"/>
          <w:szCs w:val="21"/>
        </w:rPr>
        <w:t xml:space="preserve"> 室内装饰装修夜间施工时，采取加设灯罩、遮挡和全封闭措施，避免和减少光污染，得</w:t>
      </w:r>
      <w:r>
        <w:rPr>
          <w:bCs/>
          <w:color w:val="000000"/>
          <w:sz w:val="21"/>
          <w:szCs w:val="21"/>
        </w:rPr>
        <w:t>4</w:t>
      </w:r>
      <w:r>
        <w:rPr>
          <w:rFonts w:hint="eastAsia"/>
          <w:bCs/>
          <w:color w:val="000000"/>
          <w:sz w:val="21"/>
          <w:szCs w:val="21"/>
        </w:rPr>
        <w:t>分；</w:t>
      </w:r>
    </w:p>
    <w:p>
      <w:pPr>
        <w:pStyle w:val="59"/>
        <w:spacing w:line="360" w:lineRule="exact"/>
        <w:ind w:firstLine="420" w:firstLineChars="0"/>
        <w:rPr>
          <w:bCs/>
          <w:color w:val="000000"/>
          <w:sz w:val="21"/>
          <w:szCs w:val="21"/>
        </w:rPr>
      </w:pPr>
      <w:r>
        <w:rPr>
          <w:rFonts w:hint="eastAsia"/>
          <w:b/>
          <w:bCs/>
          <w:color w:val="000000"/>
          <w:sz w:val="21"/>
          <w:szCs w:val="21"/>
        </w:rPr>
        <w:t>2</w:t>
      </w:r>
      <w:r>
        <w:rPr>
          <w:rFonts w:hint="eastAsia"/>
          <w:bCs/>
          <w:color w:val="000000"/>
          <w:sz w:val="21"/>
          <w:szCs w:val="21"/>
        </w:rPr>
        <w:t xml:space="preserve">  在光线作用敏感区域施工时，电焊作业和大型照明灯具采取防光外泄措施，得</w:t>
      </w:r>
      <w:r>
        <w:rPr>
          <w:bCs/>
          <w:color w:val="000000"/>
          <w:sz w:val="21"/>
          <w:szCs w:val="21"/>
        </w:rPr>
        <w:t>4</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color w:val="000000"/>
          <w:szCs w:val="21"/>
        </w:rPr>
        <w:t xml:space="preserve">6.2.4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装饰装修工程夜间施工时，会产生光污染，影响周边居民生活，采取措施避免夜间室内照明与电焊作业港光，或者所有室内非应急照明在非运营时间能够自动控制关闭，包括在工作时间外可手动关闭。</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本条的评价方法为：评价审核光污染分析专项报告、室内照明光防治措施说明及现场图片、影像资料。</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5 </w:t>
      </w:r>
      <w:r>
        <w:rPr>
          <w:rFonts w:hint="eastAsia"/>
          <w:bCs/>
          <w:color w:val="000000"/>
          <w:sz w:val="21"/>
          <w:szCs w:val="21"/>
        </w:rPr>
        <w:t xml:space="preserve"> 在室内全装修施工中，制定和实施污水排放控制措施，评价总分值为</w:t>
      </w:r>
      <w:r>
        <w:rPr>
          <w:bCs/>
          <w:color w:val="000000"/>
          <w:sz w:val="21"/>
          <w:szCs w:val="21"/>
        </w:rPr>
        <w:t>6</w:t>
      </w:r>
      <w:r>
        <w:rPr>
          <w:rFonts w:hint="eastAsia"/>
          <w:bCs/>
          <w:color w:val="000000"/>
          <w:sz w:val="21"/>
          <w:szCs w:val="21"/>
        </w:rPr>
        <w:t>分，并按下列规则分别评分并累计：</w:t>
      </w:r>
    </w:p>
    <w:bookmarkEnd w:id="88"/>
    <w:bookmarkEnd w:id="89"/>
    <w:bookmarkEnd w:id="90"/>
    <w:bookmarkEnd w:id="91"/>
    <w:bookmarkEnd w:id="92"/>
    <w:bookmarkEnd w:id="109"/>
    <w:bookmarkEnd w:id="110"/>
    <w:p>
      <w:pPr>
        <w:widowControl/>
        <w:spacing w:line="360" w:lineRule="exact"/>
        <w:ind w:firstLine="422" w:firstLineChars="200"/>
        <w:rPr>
          <w:b/>
          <w:color w:val="000000"/>
          <w:kern w:val="0"/>
          <w:szCs w:val="21"/>
        </w:rPr>
      </w:pPr>
      <w:r>
        <w:rPr>
          <w:rFonts w:hint="eastAsia"/>
          <w:b/>
          <w:color w:val="000000"/>
          <w:kern w:val="0"/>
          <w:szCs w:val="21"/>
        </w:rPr>
        <w:t xml:space="preserve">1  </w:t>
      </w:r>
      <w:r>
        <w:rPr>
          <w:rFonts w:hint="eastAsia"/>
          <w:bCs/>
          <w:color w:val="000000"/>
          <w:szCs w:val="21"/>
        </w:rPr>
        <w:t>在地面施工、防水施工、卫厨和机电安装施工等分项施工产生的工程污水和试验养护废水，集中收集处理，符合现行行业标准《污水排入城镇下水道水质标准》</w:t>
      </w:r>
      <w:r>
        <w:rPr>
          <w:bCs/>
          <w:color w:val="000000"/>
          <w:szCs w:val="21"/>
        </w:rPr>
        <w:t>C</w:t>
      </w:r>
      <w:r>
        <w:rPr>
          <w:rFonts w:hint="eastAsia"/>
          <w:bCs/>
          <w:color w:val="000000"/>
          <w:szCs w:val="21"/>
        </w:rPr>
        <w:t>J</w:t>
      </w:r>
      <w:r>
        <w:rPr>
          <w:bCs/>
          <w:color w:val="000000"/>
          <w:szCs w:val="21"/>
        </w:rPr>
        <w:t>343</w:t>
      </w:r>
      <w:r>
        <w:rPr>
          <w:rFonts w:hint="eastAsia"/>
          <w:bCs/>
          <w:color w:val="000000"/>
          <w:szCs w:val="21"/>
        </w:rPr>
        <w:t>的排放要求，得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color w:val="000000"/>
          <w:kern w:val="0"/>
          <w:szCs w:val="21"/>
        </w:rPr>
        <w:t xml:space="preserve">2  </w:t>
      </w:r>
      <w:r>
        <w:rPr>
          <w:rFonts w:hint="eastAsia"/>
          <w:bCs/>
          <w:color w:val="000000"/>
          <w:szCs w:val="21"/>
        </w:rPr>
        <w:t>施工现场生活区域，雨污分流排放，设置化粪池、隔油池，</w:t>
      </w:r>
    </w:p>
    <w:p>
      <w:pPr>
        <w:widowControl/>
        <w:spacing w:line="360" w:lineRule="exact"/>
        <w:rPr>
          <w:bCs/>
          <w:color w:val="000000"/>
          <w:szCs w:val="21"/>
        </w:rPr>
      </w:pPr>
      <w:r>
        <w:rPr>
          <w:rFonts w:hint="eastAsia"/>
          <w:bCs/>
          <w:color w:val="000000"/>
          <w:szCs w:val="21"/>
        </w:rPr>
        <w:t>集中处理达到排放标准，得</w:t>
      </w:r>
      <w:r>
        <w:rPr>
          <w:bCs/>
          <w:color w:val="000000"/>
          <w:szCs w:val="21"/>
        </w:rPr>
        <w:t>3</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color w:val="000000"/>
          <w:sz w:val="21"/>
          <w:szCs w:val="21"/>
        </w:rPr>
        <w:t xml:space="preserve">6.2.5  </w:t>
      </w:r>
      <w:r>
        <w:rPr>
          <w:rFonts w:hint="eastAsia" w:eastAsia="华文仿宋"/>
          <w:color w:val="000000"/>
          <w:sz w:val="21"/>
          <w:szCs w:val="21"/>
        </w:rPr>
        <w:t>本条适用于各类民用建筑室内全装修的评价。</w:t>
      </w:r>
    </w:p>
    <w:p>
      <w:pPr>
        <w:pStyle w:val="59"/>
        <w:spacing w:line="380" w:lineRule="atLeast"/>
        <w:ind w:firstLine="420"/>
        <w:rPr>
          <w:rFonts w:eastAsia="华文仿宋"/>
          <w:color w:val="000000"/>
          <w:sz w:val="21"/>
          <w:szCs w:val="21"/>
        </w:rPr>
      </w:pPr>
      <w:r>
        <w:rPr>
          <w:rFonts w:eastAsia="华文仿宋"/>
          <w:color w:val="000000"/>
          <w:sz w:val="21"/>
          <w:szCs w:val="21"/>
        </w:rPr>
        <w:t>本条的主要目的是规范施工现场与施工现场生活区的污水排放，工程污水和试验养护废水采取去泥沙、除油污、分解有机物、沉淀过滤、酸碱中和等针对性的集中处理后排放，达到标准</w:t>
      </w:r>
      <w:r>
        <w:rPr>
          <w:rFonts w:hint="eastAsia" w:eastAsia="华文仿宋"/>
          <w:color w:val="000000"/>
          <w:sz w:val="21"/>
          <w:szCs w:val="21"/>
        </w:rPr>
        <w:t>。</w:t>
      </w:r>
    </w:p>
    <w:p>
      <w:pPr>
        <w:pStyle w:val="59"/>
        <w:spacing w:line="380" w:lineRule="atLeast"/>
        <w:ind w:firstLine="420"/>
        <w:rPr>
          <w:rFonts w:eastAsia="华文仿宋"/>
          <w:color w:val="000000"/>
          <w:sz w:val="21"/>
          <w:szCs w:val="21"/>
        </w:rPr>
      </w:pPr>
      <w:r>
        <w:rPr>
          <w:rFonts w:eastAsia="华文仿宋"/>
          <w:color w:val="000000"/>
          <w:sz w:val="21"/>
          <w:szCs w:val="21"/>
        </w:rPr>
        <w:t>本条的评价方法为：评价审核污水分流设计图、污水处理流程图与处理方法、污水排放水质检测合格报告，并现场核实。</w:t>
      </w:r>
    </w:p>
    <w:p>
      <w:pPr>
        <w:pStyle w:val="59"/>
        <w:spacing w:line="360" w:lineRule="exact"/>
        <w:ind w:firstLine="0" w:firstLineChars="0"/>
        <w:rPr>
          <w:bCs/>
          <w:color w:val="000000"/>
          <w:sz w:val="21"/>
          <w:szCs w:val="21"/>
        </w:rPr>
      </w:pPr>
      <w:r>
        <w:rPr>
          <w:rFonts w:hint="eastAsia"/>
          <w:b/>
          <w:bCs/>
          <w:color w:val="000000"/>
          <w:sz w:val="21"/>
          <w:szCs w:val="21"/>
        </w:rPr>
        <w:t>6</w:t>
      </w:r>
      <w:r>
        <w:rPr>
          <w:b/>
          <w:bCs/>
          <w:color w:val="000000"/>
          <w:sz w:val="21"/>
          <w:szCs w:val="21"/>
        </w:rPr>
        <w:t>.</w:t>
      </w:r>
      <w:r>
        <w:rPr>
          <w:rFonts w:hint="eastAsia"/>
          <w:b/>
          <w:bCs/>
          <w:color w:val="000000"/>
          <w:sz w:val="21"/>
          <w:szCs w:val="21"/>
        </w:rPr>
        <w:t>2</w:t>
      </w:r>
      <w:r>
        <w:rPr>
          <w:b/>
          <w:bCs/>
          <w:color w:val="000000"/>
          <w:sz w:val="21"/>
          <w:szCs w:val="21"/>
        </w:rPr>
        <w:t>.</w:t>
      </w:r>
      <w:r>
        <w:rPr>
          <w:rFonts w:hint="eastAsia"/>
          <w:b/>
          <w:bCs/>
          <w:color w:val="000000"/>
          <w:sz w:val="21"/>
          <w:szCs w:val="21"/>
        </w:rPr>
        <w:t xml:space="preserve">6 </w:t>
      </w:r>
      <w:r>
        <w:rPr>
          <w:rFonts w:hint="eastAsia"/>
          <w:bCs/>
          <w:color w:val="000000"/>
          <w:sz w:val="21"/>
          <w:szCs w:val="21"/>
        </w:rPr>
        <w:t xml:space="preserve"> 制定室内装饰装修施工废弃物减量化、资源化计划和实施方案，回收利用符合现行国家标准《工程施工废弃物再生利用标准规范》</w:t>
      </w:r>
      <w:r>
        <w:rPr>
          <w:bCs/>
          <w:color w:val="000000"/>
          <w:sz w:val="21"/>
          <w:szCs w:val="21"/>
        </w:rPr>
        <w:t>GB/T50743</w:t>
      </w:r>
      <w:r>
        <w:rPr>
          <w:rFonts w:hint="eastAsia"/>
          <w:bCs/>
          <w:color w:val="000000"/>
          <w:sz w:val="21"/>
          <w:szCs w:val="21"/>
        </w:rPr>
        <w:t>的规定要求，评价最高总分值为9分，并按下列规则分别评分并累计；</w:t>
      </w:r>
    </w:p>
    <w:p>
      <w:pPr>
        <w:widowControl/>
        <w:spacing w:line="360" w:lineRule="exact"/>
        <w:ind w:firstLine="422" w:firstLineChars="200"/>
        <w:rPr>
          <w:bCs/>
          <w:color w:val="000000"/>
          <w:szCs w:val="21"/>
        </w:rPr>
      </w:pPr>
      <w:r>
        <w:rPr>
          <w:rFonts w:hint="eastAsia"/>
          <w:b/>
          <w:color w:val="000000"/>
          <w:kern w:val="0"/>
          <w:szCs w:val="21"/>
        </w:rPr>
        <w:t xml:space="preserve">1  </w:t>
      </w:r>
      <w:r>
        <w:rPr>
          <w:rFonts w:hint="eastAsia"/>
          <w:bCs/>
          <w:color w:val="000000"/>
          <w:szCs w:val="21"/>
        </w:rPr>
        <w:t>在施工现场设置废弃物集中收集点（站），并有对其分类收集贮存、运输、处理全过程的记录清单和台账，得2分；</w:t>
      </w:r>
    </w:p>
    <w:p>
      <w:pPr>
        <w:widowControl/>
        <w:spacing w:line="360" w:lineRule="exact"/>
        <w:ind w:firstLine="422" w:firstLineChars="200"/>
        <w:rPr>
          <w:bCs/>
          <w:color w:val="000000"/>
          <w:szCs w:val="21"/>
        </w:rPr>
      </w:pPr>
      <w:r>
        <w:rPr>
          <w:rFonts w:hint="eastAsia"/>
          <w:b/>
          <w:color w:val="000000"/>
          <w:kern w:val="0"/>
          <w:szCs w:val="21"/>
        </w:rPr>
        <w:t xml:space="preserve">2  </w:t>
      </w:r>
      <w:r>
        <w:rPr>
          <w:rFonts w:hint="eastAsia"/>
          <w:bCs/>
          <w:color w:val="000000"/>
          <w:szCs w:val="21"/>
        </w:rPr>
        <w:t>室内装饰装修材料和产品的包装物分类回收率达到90%，得2分；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 xml:space="preserve">  可回收施工废弃物的回收率不低于80%，得2分；</w:t>
      </w:r>
    </w:p>
    <w:p>
      <w:pPr>
        <w:widowControl/>
        <w:spacing w:line="360" w:lineRule="exact"/>
        <w:ind w:firstLine="422" w:firstLineChars="200"/>
        <w:rPr>
          <w:bCs/>
          <w:color w:val="000000"/>
          <w:szCs w:val="21"/>
        </w:rPr>
      </w:pPr>
      <w:r>
        <w:rPr>
          <w:rFonts w:hint="eastAsia"/>
          <w:b/>
          <w:bCs/>
          <w:color w:val="000000"/>
          <w:szCs w:val="21"/>
        </w:rPr>
        <w:t>4</w:t>
      </w:r>
      <w:r>
        <w:rPr>
          <w:rFonts w:hint="eastAsia"/>
          <w:bCs/>
          <w:color w:val="000000"/>
          <w:szCs w:val="21"/>
        </w:rPr>
        <w:t xml:space="preserve">  根据室内装饰装修项目每平方米单位建筑面积的施工固体废弃物排放量，按表6.2.6的规则评分，评价最高分值为3分。</w:t>
      </w:r>
    </w:p>
    <w:p>
      <w:pPr>
        <w:pStyle w:val="59"/>
        <w:spacing w:line="360" w:lineRule="exact"/>
        <w:ind w:firstLine="0" w:firstLineChars="0"/>
        <w:jc w:val="center"/>
        <w:rPr>
          <w:rFonts w:eastAsia="黑体" w:cs="黑体"/>
          <w:bCs/>
          <w:color w:val="000000"/>
          <w:sz w:val="18"/>
          <w:szCs w:val="18"/>
        </w:rPr>
      </w:pPr>
      <w:r>
        <w:rPr>
          <w:rFonts w:hint="eastAsia" w:eastAsia="黑体" w:cs="黑体"/>
          <w:bCs/>
          <w:color w:val="000000"/>
          <w:sz w:val="18"/>
          <w:szCs w:val="18"/>
        </w:rPr>
        <w:t>表6.2.6  室内装饰装修项目每平方米单位建筑面积的</w:t>
      </w:r>
    </w:p>
    <w:p>
      <w:pPr>
        <w:pStyle w:val="59"/>
        <w:spacing w:line="360" w:lineRule="exact"/>
        <w:ind w:firstLine="0" w:firstLineChars="0"/>
        <w:jc w:val="center"/>
        <w:rPr>
          <w:rFonts w:eastAsia="黑体" w:cs="黑体"/>
          <w:bCs/>
          <w:color w:val="000000"/>
          <w:sz w:val="18"/>
          <w:szCs w:val="18"/>
        </w:rPr>
      </w:pPr>
      <w:r>
        <w:rPr>
          <w:rFonts w:hint="eastAsia" w:eastAsia="黑体" w:cs="黑体"/>
          <w:bCs/>
          <w:color w:val="000000"/>
          <w:sz w:val="18"/>
          <w:szCs w:val="18"/>
        </w:rPr>
        <w:t>施工固体废弃物排放量评分规则</w:t>
      </w:r>
    </w:p>
    <w:tbl>
      <w:tblPr>
        <w:tblStyle w:val="55"/>
        <w:tblW w:w="5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
      <w:tblGrid>
        <w:gridCol w:w="4732"/>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trPr>
        <w:tc>
          <w:tcPr>
            <w:tcW w:w="4732" w:type="dxa"/>
            <w:vAlign w:val="center"/>
          </w:tcPr>
          <w:p>
            <w:pPr>
              <w:spacing w:line="240" w:lineRule="exact"/>
              <w:jc w:val="center"/>
              <w:rPr>
                <w:color w:val="000000"/>
                <w:sz w:val="15"/>
                <w:szCs w:val="15"/>
              </w:rPr>
            </w:pPr>
            <w:r>
              <w:rPr>
                <w:rFonts w:hint="eastAsia"/>
                <w:color w:val="000000"/>
                <w:sz w:val="15"/>
                <w:szCs w:val="15"/>
              </w:rPr>
              <w:t>固体废弃物排放量S</w:t>
            </w:r>
            <w:r>
              <w:rPr>
                <w:rFonts w:hint="eastAsia"/>
                <w:color w:val="000000"/>
                <w:sz w:val="15"/>
                <w:szCs w:val="15"/>
                <w:vertAlign w:val="subscript"/>
              </w:rPr>
              <w:t>WC</w:t>
            </w:r>
            <w:r>
              <w:rPr>
                <w:rFonts w:hint="eastAsia"/>
                <w:i/>
                <w:color w:val="000000"/>
                <w:sz w:val="15"/>
                <w:szCs w:val="15"/>
              </w:rPr>
              <w:t>/</w:t>
            </w:r>
            <w:r>
              <w:rPr>
                <w:rFonts w:hint="eastAsia"/>
                <w:color w:val="000000"/>
                <w:sz w:val="15"/>
                <w:szCs w:val="15"/>
              </w:rPr>
              <w:t>(kg·m</w:t>
            </w:r>
            <w:r>
              <w:rPr>
                <w:rFonts w:hint="eastAsia"/>
                <w:color w:val="000000"/>
                <w:sz w:val="15"/>
                <w:szCs w:val="15"/>
                <w:vertAlign w:val="superscript"/>
              </w:rPr>
              <w:t>2</w:t>
            </w:r>
            <w:r>
              <w:rPr>
                <w:rFonts w:hint="eastAsia"/>
                <w:color w:val="000000"/>
                <w:sz w:val="15"/>
                <w:szCs w:val="15"/>
              </w:rPr>
              <w:t>)</w:t>
            </w:r>
          </w:p>
        </w:tc>
        <w:tc>
          <w:tcPr>
            <w:tcW w:w="1174" w:type="dxa"/>
            <w:vAlign w:val="center"/>
          </w:tcPr>
          <w:p>
            <w:pPr>
              <w:spacing w:line="240" w:lineRule="exact"/>
              <w:jc w:val="center"/>
              <w:rPr>
                <w:color w:val="000000"/>
                <w:sz w:val="15"/>
                <w:szCs w:val="15"/>
              </w:rPr>
            </w:pPr>
            <w:r>
              <w:rPr>
                <w:color w:val="000000"/>
                <w:sz w:val="15"/>
                <w:szCs w:val="15"/>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80" w:hRule="exact"/>
        </w:trPr>
        <w:tc>
          <w:tcPr>
            <w:tcW w:w="4732" w:type="dxa"/>
            <w:vAlign w:val="center"/>
          </w:tcPr>
          <w:p>
            <w:pPr>
              <w:spacing w:line="240" w:lineRule="exact"/>
              <w:jc w:val="center"/>
              <w:rPr>
                <w:color w:val="000000"/>
                <w:sz w:val="15"/>
                <w:szCs w:val="15"/>
              </w:rPr>
            </w:pPr>
            <w:r>
              <w:rPr>
                <w:rFonts w:hint="eastAsia"/>
                <w:color w:val="000000"/>
                <w:sz w:val="15"/>
                <w:szCs w:val="15"/>
              </w:rPr>
              <w:t>15</w:t>
            </w:r>
            <w:r>
              <w:rPr>
                <w:bCs/>
                <w:color w:val="000000"/>
                <w:sz w:val="15"/>
                <w:szCs w:val="15"/>
              </w:rPr>
              <w:t>＜</w:t>
            </w:r>
            <w:r>
              <w:rPr>
                <w:rFonts w:hint="eastAsia"/>
                <w:color w:val="000000"/>
                <w:sz w:val="15"/>
                <w:szCs w:val="15"/>
              </w:rPr>
              <w:t>S</w:t>
            </w:r>
            <w:r>
              <w:rPr>
                <w:rFonts w:hint="eastAsia"/>
                <w:color w:val="000000"/>
                <w:sz w:val="15"/>
                <w:szCs w:val="15"/>
                <w:vertAlign w:val="subscript"/>
              </w:rPr>
              <w:t>WC</w:t>
            </w:r>
            <w:r>
              <w:rPr>
                <w:rFonts w:hint="eastAsia"/>
                <w:bCs/>
                <w:color w:val="000000"/>
                <w:sz w:val="15"/>
                <w:szCs w:val="15"/>
              </w:rPr>
              <w:t>≤20</w:t>
            </w:r>
          </w:p>
        </w:tc>
        <w:tc>
          <w:tcPr>
            <w:tcW w:w="1174" w:type="dxa"/>
            <w:vAlign w:val="center"/>
          </w:tcPr>
          <w:p>
            <w:pPr>
              <w:spacing w:line="240" w:lineRule="exact"/>
              <w:jc w:val="center"/>
              <w:rPr>
                <w:color w:val="000000"/>
                <w:sz w:val="15"/>
                <w:szCs w:val="15"/>
              </w:rPr>
            </w:pPr>
            <w:r>
              <w:rPr>
                <w:rFonts w:hint="eastAsia"/>
                <w:color w:val="000000"/>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trPr>
        <w:tc>
          <w:tcPr>
            <w:tcW w:w="4732" w:type="dxa"/>
            <w:vAlign w:val="center"/>
          </w:tcPr>
          <w:p>
            <w:pPr>
              <w:spacing w:line="240" w:lineRule="exact"/>
              <w:jc w:val="center"/>
              <w:rPr>
                <w:color w:val="000000"/>
                <w:sz w:val="15"/>
                <w:szCs w:val="15"/>
              </w:rPr>
            </w:pPr>
            <w:r>
              <w:rPr>
                <w:rFonts w:hint="eastAsia"/>
                <w:color w:val="000000"/>
                <w:sz w:val="15"/>
                <w:szCs w:val="15"/>
              </w:rPr>
              <w:t>10</w:t>
            </w:r>
            <w:r>
              <w:rPr>
                <w:bCs/>
                <w:color w:val="000000"/>
                <w:sz w:val="15"/>
                <w:szCs w:val="15"/>
              </w:rPr>
              <w:t>＜</w:t>
            </w:r>
            <w:r>
              <w:rPr>
                <w:rFonts w:hint="eastAsia"/>
                <w:color w:val="000000"/>
                <w:sz w:val="15"/>
                <w:szCs w:val="15"/>
              </w:rPr>
              <w:t>S</w:t>
            </w:r>
            <w:r>
              <w:rPr>
                <w:rFonts w:hint="eastAsia"/>
                <w:color w:val="000000"/>
                <w:sz w:val="15"/>
                <w:szCs w:val="15"/>
                <w:vertAlign w:val="subscript"/>
              </w:rPr>
              <w:t>WC</w:t>
            </w:r>
            <w:r>
              <w:rPr>
                <w:rFonts w:hint="eastAsia"/>
                <w:bCs/>
                <w:color w:val="000000"/>
                <w:sz w:val="15"/>
                <w:szCs w:val="15"/>
              </w:rPr>
              <w:t>≤15</w:t>
            </w:r>
          </w:p>
        </w:tc>
        <w:tc>
          <w:tcPr>
            <w:tcW w:w="1174" w:type="dxa"/>
            <w:vAlign w:val="center"/>
          </w:tcPr>
          <w:p>
            <w:pPr>
              <w:spacing w:line="240" w:lineRule="exact"/>
              <w:jc w:val="center"/>
              <w:rPr>
                <w:color w:val="000000"/>
                <w:sz w:val="15"/>
                <w:szCs w:val="15"/>
              </w:rPr>
            </w:pPr>
            <w:r>
              <w:rPr>
                <w:rFonts w:hint="eastAsia"/>
                <w:color w:val="000000"/>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trPr>
        <w:tc>
          <w:tcPr>
            <w:tcW w:w="4732" w:type="dxa"/>
            <w:vAlign w:val="center"/>
          </w:tcPr>
          <w:p>
            <w:pPr>
              <w:spacing w:line="240" w:lineRule="exact"/>
              <w:jc w:val="center"/>
              <w:rPr>
                <w:color w:val="000000"/>
                <w:sz w:val="15"/>
                <w:szCs w:val="15"/>
              </w:rPr>
            </w:pPr>
            <w:r>
              <w:rPr>
                <w:rFonts w:hint="eastAsia"/>
                <w:color w:val="000000"/>
                <w:sz w:val="15"/>
                <w:szCs w:val="15"/>
              </w:rPr>
              <w:t>S</w:t>
            </w:r>
            <w:r>
              <w:rPr>
                <w:rFonts w:hint="eastAsia"/>
                <w:color w:val="000000"/>
                <w:sz w:val="15"/>
                <w:szCs w:val="15"/>
                <w:vertAlign w:val="subscript"/>
              </w:rPr>
              <w:t>WC</w:t>
            </w:r>
            <w:r>
              <w:rPr>
                <w:rFonts w:hint="eastAsia"/>
                <w:bCs/>
                <w:color w:val="000000"/>
                <w:sz w:val="15"/>
                <w:szCs w:val="15"/>
              </w:rPr>
              <w:t>≤10</w:t>
            </w:r>
          </w:p>
        </w:tc>
        <w:tc>
          <w:tcPr>
            <w:tcW w:w="1174" w:type="dxa"/>
            <w:vAlign w:val="center"/>
          </w:tcPr>
          <w:p>
            <w:pPr>
              <w:spacing w:line="240" w:lineRule="exact"/>
              <w:jc w:val="center"/>
              <w:rPr>
                <w:color w:val="000000"/>
                <w:sz w:val="15"/>
                <w:szCs w:val="15"/>
              </w:rPr>
            </w:pPr>
            <w:r>
              <w:rPr>
                <w:rFonts w:hint="eastAsia"/>
                <w:color w:val="000000"/>
                <w:sz w:val="15"/>
                <w:szCs w:val="15"/>
              </w:rPr>
              <w:t>3</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color w:val="000000"/>
          <w:szCs w:val="21"/>
        </w:rPr>
        <w:t xml:space="preserve">6.2.6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目前建筑活动包括室内装饰装修施工产生的建筑废弃物的总量很大，本条款主要针对室内装饰装修施工废弃物减量化、资源化计划和实施方案进行评价。室内装饰装修施工废弃物的堆放或填埋均占用大量的土地，对环境产生很大的影响，包括建筑室内装饰装修垃圾的淋滤液渗入</w:t>
      </w:r>
      <w:r>
        <w:rPr>
          <w:rFonts w:hint="eastAsia" w:eastAsia="华文仿宋"/>
          <w:color w:val="000000"/>
          <w:szCs w:val="21"/>
        </w:rPr>
        <w:t>土</w:t>
      </w:r>
      <w:r>
        <w:rPr>
          <w:rFonts w:eastAsia="华文仿宋"/>
          <w:color w:val="000000"/>
          <w:szCs w:val="21"/>
        </w:rPr>
        <w:t>层和含水层、破坏土壤环境、污染地下水、有机物质发生分解产生有害气体和污染空气。同时室内装饰装修施工废弃物的产出，也意味着资源的浪费。因此减少室内装饰装修施工废弃物产出，涉及节地、节能、节材和保护环境这样一个可持续发展的综合性问题。施工废弃物减量化应在材料采购、材料管理、施工管理的全过程实施。施工废弃物应分类收集、集中堆放，尽量回收和再利用。</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室内装饰装修施工废弃物包括工程施工产生的各类施工废料，有的可回收，有的不可回收，有的是有毒有害物质，均要进行统一规范化的管理，防止污染环境。</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统计的施工固体废弃物排放量按室内每平方米单位建筑面积进行计算。</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的评价方法为：评价査阅建筑室内装饰装修施工废弃物减量化资源化计划、废弃物集中收集点（站）位置平面图、建筑室内装饰装修施工废弃物回收单据、各类装饰装修材料进货单、各类工程量结算清单，统计计算室内每平方米建筑面积室内装饰装修施工固体废弃物排放量。</w:t>
      </w:r>
    </w:p>
    <w:p>
      <w:pPr>
        <w:widowControl/>
        <w:spacing w:line="360" w:lineRule="exact"/>
        <w:rPr>
          <w:bCs/>
          <w:color w:val="000000"/>
          <w:szCs w:val="21"/>
        </w:rPr>
      </w:pPr>
      <w:r>
        <w:rPr>
          <w:rFonts w:hint="eastAsia"/>
          <w:b/>
          <w:bCs/>
          <w:color w:val="000000"/>
          <w:szCs w:val="21"/>
        </w:rPr>
        <w:t>6</w:t>
      </w:r>
      <w:r>
        <w:rPr>
          <w:b/>
          <w:bCs/>
          <w:color w:val="000000"/>
          <w:szCs w:val="21"/>
        </w:rPr>
        <w:t>.</w:t>
      </w:r>
      <w:r>
        <w:rPr>
          <w:rFonts w:hint="eastAsia"/>
          <w:b/>
          <w:bCs/>
          <w:color w:val="000000"/>
          <w:szCs w:val="21"/>
        </w:rPr>
        <w:t>2</w:t>
      </w:r>
      <w:r>
        <w:rPr>
          <w:b/>
          <w:bCs/>
          <w:color w:val="000000"/>
          <w:szCs w:val="21"/>
        </w:rPr>
        <w:t>.</w:t>
      </w:r>
      <w:r>
        <w:rPr>
          <w:rFonts w:hint="eastAsia"/>
          <w:b/>
          <w:bCs/>
          <w:color w:val="000000"/>
          <w:szCs w:val="21"/>
        </w:rPr>
        <w:t xml:space="preserve">7 </w:t>
      </w:r>
      <w:r>
        <w:rPr>
          <w:rFonts w:hint="eastAsia"/>
          <w:bCs/>
          <w:color w:val="000000"/>
          <w:szCs w:val="21"/>
        </w:rPr>
        <w:t xml:space="preserve"> 室内施工人造木板和饰面板人造木板时，采取措施减少空气污染排放，评价总分值为</w:t>
      </w:r>
      <w:r>
        <w:rPr>
          <w:bCs/>
          <w:color w:val="000000"/>
          <w:szCs w:val="21"/>
        </w:rPr>
        <w:t>10</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bCs/>
          <w:color w:val="000000"/>
          <w:szCs w:val="21"/>
        </w:rPr>
        <w:t>  </w:t>
      </w:r>
      <w:r>
        <w:rPr>
          <w:rFonts w:hint="eastAsia"/>
          <w:bCs/>
          <w:color w:val="000000"/>
          <w:szCs w:val="21"/>
        </w:rPr>
        <w:t>民用建筑工程的室内装饰装修采用的人造板及饰面人造木板达到</w:t>
      </w:r>
      <w:r>
        <w:rPr>
          <w:bCs/>
          <w:color w:val="000000"/>
          <w:szCs w:val="21"/>
        </w:rPr>
        <w:t>E</w:t>
      </w:r>
      <w:r>
        <w:rPr>
          <w:bCs/>
          <w:color w:val="000000"/>
          <w:szCs w:val="21"/>
          <w:vertAlign w:val="subscript"/>
        </w:rPr>
        <w:t>1</w:t>
      </w:r>
      <w:r>
        <w:rPr>
          <w:rFonts w:hint="eastAsia"/>
          <w:bCs/>
          <w:color w:val="000000"/>
          <w:szCs w:val="21"/>
        </w:rPr>
        <w:t>级要求，得</w:t>
      </w: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b/>
          <w:bCs/>
          <w:color w:val="000000"/>
          <w:szCs w:val="21"/>
        </w:rPr>
        <w:t>2</w:t>
      </w:r>
      <w:r>
        <w:rPr>
          <w:rFonts w:hint="eastAsia"/>
          <w:bCs/>
          <w:color w:val="000000"/>
          <w:szCs w:val="21"/>
        </w:rPr>
        <w:t xml:space="preserve">  进行饰面板人造木板拼接施工时，采用</w:t>
      </w:r>
      <w:r>
        <w:rPr>
          <w:bCs/>
          <w:color w:val="000000"/>
          <w:szCs w:val="21"/>
        </w:rPr>
        <w:t>E</w:t>
      </w:r>
      <w:r>
        <w:rPr>
          <w:bCs/>
          <w:color w:val="000000"/>
          <w:szCs w:val="21"/>
          <w:vertAlign w:val="subscript"/>
        </w:rPr>
        <w:t>1</w:t>
      </w:r>
      <w:r>
        <w:rPr>
          <w:rFonts w:hint="eastAsia"/>
          <w:bCs/>
          <w:color w:val="000000"/>
          <w:szCs w:val="21"/>
        </w:rPr>
        <w:t>级的芯板，得</w:t>
      </w:r>
    </w:p>
    <w:p>
      <w:pPr>
        <w:widowControl/>
        <w:spacing w:line="360" w:lineRule="exact"/>
        <w:rPr>
          <w:bCs/>
          <w:color w:val="000000"/>
          <w:szCs w:val="21"/>
        </w:rPr>
      </w:pP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b/>
          <w:bCs/>
          <w:color w:val="000000"/>
          <w:szCs w:val="21"/>
        </w:rPr>
        <w:t>3</w:t>
      </w:r>
      <w:r>
        <w:rPr>
          <w:bCs/>
          <w:color w:val="000000"/>
          <w:szCs w:val="21"/>
        </w:rPr>
        <w:t>  </w:t>
      </w:r>
      <w:r>
        <w:rPr>
          <w:rFonts w:hint="eastAsia"/>
          <w:bCs/>
          <w:color w:val="000000"/>
          <w:szCs w:val="21"/>
        </w:rPr>
        <w:t>人造板和饰面人造板防潮、防火、防腐等工序，不在施工现场处理备用，得</w:t>
      </w:r>
      <w:r>
        <w:rPr>
          <w:bCs/>
          <w:color w:val="000000"/>
          <w:szCs w:val="21"/>
        </w:rPr>
        <w:t>2</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color w:val="000000"/>
          <w:szCs w:val="21"/>
        </w:rPr>
        <w:t xml:space="preserve">6.2.7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本条中第1、2款参考现行国家标准《民用建筑工程室内环境污染控制规范》GB 50325中的条文规定并要求有所提高。在绿色室内装饰装修施工材料选择中鼓励使用有害物质释放量少的室内装饰装修材料及拼接芯板，其限量值符合现行国家标准《室内装饰装修材料  人造板及其制品中甲醛释放限量》GB 18580的规定，见表</w:t>
      </w:r>
      <w:r>
        <w:rPr>
          <w:rFonts w:hint="eastAsia" w:eastAsia="华文仿宋"/>
          <w:color w:val="000000"/>
          <w:szCs w:val="21"/>
        </w:rPr>
        <w:t>6.2.7</w:t>
      </w:r>
      <w:r>
        <w:rPr>
          <w:rFonts w:eastAsia="华文仿宋"/>
          <w:color w:val="000000"/>
          <w:szCs w:val="21"/>
        </w:rPr>
        <w:t>。</w:t>
      </w:r>
    </w:p>
    <w:p>
      <w:pPr>
        <w:adjustRightInd w:val="0"/>
        <w:spacing w:line="380" w:lineRule="atLeast"/>
        <w:jc w:val="center"/>
        <w:outlineLvl w:val="2"/>
        <w:rPr>
          <w:rFonts w:eastAsia="黑体"/>
          <w:color w:val="000000"/>
          <w:sz w:val="18"/>
          <w:szCs w:val="18"/>
        </w:rPr>
      </w:pPr>
      <w:r>
        <w:rPr>
          <w:rFonts w:eastAsia="黑体"/>
          <w:color w:val="000000"/>
          <w:sz w:val="18"/>
          <w:szCs w:val="18"/>
        </w:rPr>
        <w:t>表</w:t>
      </w:r>
      <w:r>
        <w:rPr>
          <w:rFonts w:hint="eastAsia" w:eastAsia="黑体"/>
          <w:color w:val="000000"/>
          <w:sz w:val="18"/>
          <w:szCs w:val="18"/>
        </w:rPr>
        <w:t>6.2.7</w:t>
      </w:r>
      <w:r>
        <w:rPr>
          <w:rFonts w:eastAsia="黑体"/>
          <w:color w:val="000000"/>
          <w:sz w:val="18"/>
          <w:szCs w:val="18"/>
        </w:rPr>
        <w:t xml:space="preserve">  </w:t>
      </w:r>
      <w:r>
        <w:rPr>
          <w:rFonts w:hint="eastAsia" w:eastAsia="黑体"/>
          <w:color w:val="000000"/>
          <w:sz w:val="18"/>
          <w:szCs w:val="18"/>
        </w:rPr>
        <w:t>环境测试舱法测定游离甲醛释放量限量</w:t>
      </w:r>
    </w:p>
    <w:tbl>
      <w:tblPr>
        <w:tblStyle w:val="152"/>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96"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级别</w:t>
            </w:r>
          </w:p>
        </w:tc>
        <w:tc>
          <w:tcPr>
            <w:tcW w:w="3990"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限量/（mg/m</w:t>
            </w:r>
            <w:r>
              <w:rPr>
                <w:rFonts w:hint="eastAsia" w:ascii="Calibri" w:hAnsi="Calibri" w:eastAsia="宋体" w:cs="黑体"/>
                <w:color w:val="000000"/>
                <w:kern w:val="2"/>
                <w:sz w:val="15"/>
                <w:szCs w:val="15"/>
                <w:vertAlign w:val="superscript"/>
              </w:rPr>
              <w:t>3</w:t>
            </w:r>
            <w:r>
              <w:rPr>
                <w:rFonts w:hint="eastAsia" w:ascii="Calibri" w:hAnsi="Calibri" w:eastAsia="宋体" w:cs="黑体"/>
                <w:color w:val="000000"/>
                <w:kern w:val="2"/>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896"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hint="eastAsia" w:ascii="Calibri" w:hAnsi="Calibri" w:eastAsia="宋体" w:cs="黑体"/>
                <w:color w:val="000000"/>
                <w:kern w:val="2"/>
                <w:sz w:val="15"/>
                <w:szCs w:val="15"/>
              </w:rPr>
              <w:t>E</w:t>
            </w:r>
            <w:r>
              <w:rPr>
                <w:rFonts w:hint="eastAsia" w:ascii="Calibri" w:hAnsi="Calibri" w:eastAsia="宋体" w:cs="黑体"/>
                <w:color w:val="000000"/>
                <w:kern w:val="2"/>
                <w:sz w:val="15"/>
                <w:szCs w:val="15"/>
                <w:vertAlign w:val="subscript"/>
              </w:rPr>
              <w:t>1</w:t>
            </w:r>
          </w:p>
        </w:tc>
        <w:tc>
          <w:tcPr>
            <w:tcW w:w="3990" w:type="dxa"/>
            <w:vAlign w:val="center"/>
          </w:tcPr>
          <w:p>
            <w:pPr>
              <w:adjustRightInd w:val="0"/>
              <w:spacing w:line="380" w:lineRule="atLeast"/>
              <w:jc w:val="center"/>
              <w:outlineLvl w:val="2"/>
              <w:rPr>
                <w:rFonts w:ascii="Calibri" w:hAnsi="Calibri" w:eastAsia="宋体" w:cs="黑体"/>
                <w:color w:val="000000"/>
                <w:kern w:val="2"/>
                <w:sz w:val="15"/>
                <w:szCs w:val="15"/>
              </w:rPr>
            </w:pPr>
            <w:r>
              <w:rPr>
                <w:rFonts w:ascii="Calibri" w:hAnsi="Calibri" w:eastAsia="宋体" w:cs="黑体"/>
                <w:color w:val="000000"/>
                <w:kern w:val="2"/>
                <w:sz w:val="15"/>
                <w:szCs w:val="15"/>
              </w:rPr>
              <w:t>≤</w:t>
            </w:r>
            <w:r>
              <w:rPr>
                <w:rFonts w:hint="eastAsia" w:ascii="Calibri" w:hAnsi="Calibri" w:eastAsia="宋体" w:cs="黑体"/>
                <w:color w:val="000000"/>
                <w:kern w:val="2"/>
                <w:sz w:val="15"/>
                <w:szCs w:val="15"/>
              </w:rPr>
              <w:t>0.12</w:t>
            </w:r>
          </w:p>
        </w:tc>
      </w:tr>
    </w:tbl>
    <w:p>
      <w:pPr>
        <w:adjustRightInd w:val="0"/>
        <w:spacing w:line="380" w:lineRule="atLeast"/>
        <w:ind w:firstLine="420" w:firstLineChars="200"/>
        <w:outlineLvl w:val="2"/>
        <w:rPr>
          <w:rFonts w:eastAsia="华文仿宋"/>
          <w:color w:val="000000"/>
          <w:szCs w:val="21"/>
        </w:rPr>
      </w:pPr>
      <w:r>
        <w:rPr>
          <w:rFonts w:eastAsia="华文仿宋"/>
          <w:color w:val="000000"/>
          <w:szCs w:val="21"/>
        </w:rPr>
        <w:t>人造板和饰面人造板防潮、防火、防腐等工序在实施过程中产生的挥发性气体对室内空气污染较大且对施工人员伤害较大，需统一规范化施工并干燥7d后再进行室内装饰装修现场安装施工。</w:t>
      </w:r>
    </w:p>
    <w:p>
      <w:pPr>
        <w:widowControl/>
        <w:spacing w:line="360" w:lineRule="exact"/>
        <w:ind w:firstLine="420" w:firstLineChars="200"/>
        <w:rPr>
          <w:rFonts w:eastAsia="华文仿宋"/>
          <w:bCs/>
          <w:color w:val="000000"/>
          <w:szCs w:val="21"/>
        </w:rPr>
      </w:pPr>
      <w:r>
        <w:rPr>
          <w:rFonts w:eastAsia="华文仿宋"/>
          <w:color w:val="000000"/>
          <w:szCs w:val="21"/>
        </w:rPr>
        <w:t>本条的评价方法为</w:t>
      </w:r>
      <w:r>
        <w:rPr>
          <w:rFonts w:hint="eastAsia" w:eastAsia="华文仿宋"/>
          <w:color w:val="000000"/>
          <w:szCs w:val="21"/>
        </w:rPr>
        <w:t>：</w:t>
      </w:r>
      <w:r>
        <w:rPr>
          <w:rFonts w:eastAsia="华文仿宋"/>
          <w:color w:val="000000"/>
          <w:szCs w:val="21"/>
        </w:rPr>
        <w:t>评价查阅施工图及材料使用清单，并提交人造板、拼接芯板甲醛释放量检测合格报告。</w:t>
      </w:r>
    </w:p>
    <w:p>
      <w:pPr>
        <w:widowControl/>
        <w:spacing w:line="360" w:lineRule="exact"/>
        <w:rPr>
          <w:bCs/>
          <w:color w:val="000000"/>
          <w:szCs w:val="21"/>
        </w:rPr>
      </w:pPr>
      <w:r>
        <w:rPr>
          <w:b/>
          <w:bCs/>
          <w:color w:val="000000"/>
          <w:szCs w:val="21"/>
        </w:rPr>
        <w:t>6.2.8</w:t>
      </w:r>
      <w:r>
        <w:rPr>
          <w:bCs/>
          <w:color w:val="000000"/>
          <w:szCs w:val="21"/>
        </w:rPr>
        <w:t>  </w:t>
      </w:r>
      <w:r>
        <w:rPr>
          <w:rFonts w:hint="eastAsia"/>
          <w:bCs/>
          <w:color w:val="000000"/>
          <w:szCs w:val="21"/>
        </w:rPr>
        <w:t>室内施工涂料时，采取措施有效控制空气污染排放，评价总分值为</w:t>
      </w:r>
      <w:r>
        <w:rPr>
          <w:bCs/>
          <w:color w:val="000000"/>
          <w:szCs w:val="21"/>
        </w:rPr>
        <w:t>10</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bCs/>
          <w:color w:val="000000"/>
          <w:szCs w:val="21"/>
        </w:rPr>
        <w:t>  </w:t>
      </w:r>
      <w:r>
        <w:rPr>
          <w:rFonts w:hint="eastAsia"/>
          <w:bCs/>
          <w:color w:val="000000"/>
          <w:szCs w:val="21"/>
        </w:rPr>
        <w:t>采用溶剂型涂料和木器用溶剂型腻子，按其规定的最大稀释比例混合后，测定</w:t>
      </w:r>
      <w:r>
        <w:rPr>
          <w:bCs/>
          <w:color w:val="000000"/>
          <w:szCs w:val="21"/>
        </w:rPr>
        <w:t>VOC</w:t>
      </w:r>
      <w:r>
        <w:rPr>
          <w:rFonts w:hint="eastAsia"/>
          <w:bCs/>
          <w:color w:val="000000"/>
          <w:szCs w:val="21"/>
        </w:rPr>
        <w:t>和苯、甲苯</w:t>
      </w:r>
      <w:r>
        <w:rPr>
          <w:bCs/>
          <w:color w:val="000000"/>
          <w:szCs w:val="21"/>
        </w:rPr>
        <w:t>+</w:t>
      </w:r>
      <w:r>
        <w:rPr>
          <w:rFonts w:hint="eastAsia"/>
          <w:bCs/>
          <w:color w:val="000000"/>
          <w:szCs w:val="21"/>
        </w:rPr>
        <w:t>二甲苯</w:t>
      </w:r>
      <w:r>
        <w:rPr>
          <w:bCs/>
          <w:color w:val="000000"/>
          <w:szCs w:val="21"/>
        </w:rPr>
        <w:t>+</w:t>
      </w:r>
      <w:r>
        <w:rPr>
          <w:rFonts w:hint="eastAsia"/>
          <w:bCs/>
          <w:color w:val="000000"/>
          <w:szCs w:val="21"/>
        </w:rPr>
        <w:t>乙苯的含量，其限量符合现行国家标准《民用建筑工程室内环境污染控制规范》</w:t>
      </w:r>
      <w:r>
        <w:rPr>
          <w:bCs/>
          <w:color w:val="000000"/>
          <w:szCs w:val="21"/>
        </w:rPr>
        <w:t>GB50325</w:t>
      </w:r>
      <w:r>
        <w:rPr>
          <w:rFonts w:hint="eastAsia"/>
          <w:bCs/>
          <w:color w:val="000000"/>
          <w:szCs w:val="21"/>
        </w:rPr>
        <w:t>的规定要求，得</w:t>
      </w: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b/>
          <w:bCs/>
          <w:color w:val="000000"/>
          <w:szCs w:val="21"/>
        </w:rPr>
        <w:t>2</w:t>
      </w:r>
      <w:r>
        <w:rPr>
          <w:bCs/>
          <w:color w:val="000000"/>
          <w:szCs w:val="21"/>
        </w:rPr>
        <w:t>  </w:t>
      </w:r>
      <w:r>
        <w:rPr>
          <w:rFonts w:hint="eastAsia"/>
          <w:bCs/>
          <w:color w:val="000000"/>
          <w:szCs w:val="21"/>
        </w:rPr>
        <w:t>未采用聚乙烯醇水玻璃内墙涂料、聚乙烯醇缩甲醛内墙涂料、溶剂以二甲苯为主的水包油型（</w:t>
      </w:r>
      <w:r>
        <w:rPr>
          <w:bCs/>
          <w:color w:val="000000"/>
          <w:szCs w:val="21"/>
        </w:rPr>
        <w:t>O/W</w:t>
      </w:r>
      <w:r>
        <w:rPr>
          <w:rFonts w:hint="eastAsia"/>
          <w:bCs/>
          <w:color w:val="000000"/>
          <w:szCs w:val="21"/>
        </w:rPr>
        <w:t>）多彩内墙涂料，得</w:t>
      </w: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b/>
          <w:bCs/>
          <w:color w:val="000000"/>
          <w:szCs w:val="21"/>
        </w:rPr>
        <w:t>3</w:t>
      </w:r>
      <w:r>
        <w:rPr>
          <w:bCs/>
          <w:color w:val="000000"/>
          <w:szCs w:val="21"/>
        </w:rPr>
        <w:t>  </w:t>
      </w:r>
      <w:r>
        <w:rPr>
          <w:rFonts w:hint="eastAsia"/>
          <w:bCs/>
          <w:color w:val="000000"/>
          <w:szCs w:val="21"/>
        </w:rPr>
        <w:t>油漆涂料和需进行打胶墙边施工工序，在项目竣工验收前至少</w:t>
      </w:r>
      <w:r>
        <w:rPr>
          <w:bCs/>
          <w:color w:val="000000"/>
          <w:szCs w:val="21"/>
        </w:rPr>
        <w:t>7d</w:t>
      </w:r>
      <w:r>
        <w:rPr>
          <w:rFonts w:hint="eastAsia"/>
          <w:bCs/>
          <w:color w:val="000000"/>
          <w:szCs w:val="21"/>
        </w:rPr>
        <w:t>完成，得</w:t>
      </w:r>
      <w:r>
        <w:rPr>
          <w:bCs/>
          <w:color w:val="000000"/>
          <w:szCs w:val="21"/>
        </w:rPr>
        <w:t>2</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color w:val="000000"/>
          <w:sz w:val="21"/>
          <w:szCs w:val="21"/>
        </w:rPr>
        <w:t xml:space="preserve">6.2.8  </w:t>
      </w:r>
      <w:r>
        <w:rPr>
          <w:rFonts w:hint="eastAsia" w:eastAsia="华文仿宋"/>
          <w:color w:val="000000"/>
          <w:sz w:val="21"/>
          <w:szCs w:val="21"/>
        </w:rPr>
        <w:t>本条适用于各类民用建筑室内全装修的评价。</w:t>
      </w:r>
    </w:p>
    <w:p>
      <w:pPr>
        <w:pStyle w:val="59"/>
        <w:spacing w:line="380" w:lineRule="atLeast"/>
        <w:ind w:firstLine="420"/>
        <w:rPr>
          <w:color w:val="000000"/>
          <w:szCs w:val="21"/>
        </w:rPr>
      </w:pPr>
      <w:r>
        <w:rPr>
          <w:rFonts w:eastAsia="华文仿宋"/>
          <w:color w:val="000000"/>
          <w:sz w:val="21"/>
          <w:szCs w:val="21"/>
        </w:rPr>
        <w:t>室内用溶剂型涂料和木器用溶剂型腻子含有大量挥发性有机化合物，现场施工时对室内环境污染很大，但数小时后即可挥发90%，1周后就很少挥发了。因此，在避开居民休息时间进行涂饰施工、增加与室外通风换气、加强施工防护措施的前提下，目前仍可使用符合国家现行标准的室内用溶剂型涂料。随着新材料、新技术的发展，将逐步采用低毒性、低挥发性的涂料。涂料中的VOC和苯、甲苯+二甲苯+乙苯的含量符合表</w:t>
      </w:r>
      <w:r>
        <w:rPr>
          <w:rFonts w:hint="eastAsia" w:eastAsia="华文仿宋"/>
          <w:color w:val="000000"/>
          <w:sz w:val="21"/>
          <w:szCs w:val="21"/>
        </w:rPr>
        <w:t>6.2.8</w:t>
      </w:r>
      <w:r>
        <w:rPr>
          <w:rFonts w:eastAsia="华文仿宋"/>
          <w:color w:val="000000"/>
          <w:sz w:val="21"/>
          <w:szCs w:val="21"/>
        </w:rPr>
        <w:t>规定。</w:t>
      </w:r>
    </w:p>
    <w:p>
      <w:pPr>
        <w:pStyle w:val="59"/>
        <w:spacing w:line="380" w:lineRule="atLeast"/>
        <w:ind w:firstLine="0" w:firstLineChars="0"/>
        <w:jc w:val="center"/>
        <w:rPr>
          <w:rFonts w:eastAsia="黑体"/>
          <w:color w:val="000000"/>
          <w:sz w:val="18"/>
          <w:szCs w:val="18"/>
        </w:rPr>
      </w:pPr>
      <w:r>
        <w:rPr>
          <w:rFonts w:eastAsia="黑体"/>
          <w:color w:val="000000"/>
          <w:sz w:val="18"/>
          <w:szCs w:val="18"/>
        </w:rPr>
        <w:t>表</w:t>
      </w:r>
      <w:r>
        <w:rPr>
          <w:rFonts w:hint="eastAsia" w:eastAsia="黑体"/>
          <w:color w:val="000000"/>
          <w:sz w:val="18"/>
          <w:szCs w:val="18"/>
        </w:rPr>
        <w:t>6.2.8</w:t>
      </w:r>
      <w:r>
        <w:rPr>
          <w:rFonts w:eastAsia="黑体"/>
          <w:color w:val="000000"/>
          <w:sz w:val="18"/>
          <w:szCs w:val="18"/>
        </w:rPr>
        <w:t xml:space="preserve">  </w:t>
      </w:r>
      <w:r>
        <w:rPr>
          <w:rFonts w:hint="eastAsia" w:eastAsia="黑体"/>
          <w:color w:val="000000"/>
          <w:sz w:val="18"/>
          <w:szCs w:val="18"/>
        </w:rPr>
        <w:t>室内用溶剂型涂料和木器用溶剂型腻子中</w:t>
      </w:r>
    </w:p>
    <w:p>
      <w:pPr>
        <w:pStyle w:val="59"/>
        <w:spacing w:line="380" w:lineRule="atLeast"/>
        <w:ind w:firstLine="0" w:firstLineChars="0"/>
        <w:jc w:val="center"/>
        <w:rPr>
          <w:rFonts w:eastAsia="黑体"/>
          <w:color w:val="000000"/>
          <w:sz w:val="18"/>
          <w:szCs w:val="18"/>
        </w:rPr>
      </w:pPr>
      <w:r>
        <w:rPr>
          <w:rFonts w:hint="eastAsia" w:eastAsia="黑体"/>
          <w:color w:val="000000"/>
          <w:sz w:val="18"/>
          <w:szCs w:val="18"/>
        </w:rPr>
        <w:t>VOC、苯、甲苯</w:t>
      </w:r>
      <w:r>
        <w:rPr>
          <w:rFonts w:eastAsia="黑体"/>
          <w:color w:val="000000"/>
          <w:sz w:val="18"/>
          <w:szCs w:val="18"/>
        </w:rPr>
        <w:t>+二甲苯+乙苯</w:t>
      </w:r>
      <w:r>
        <w:rPr>
          <w:rFonts w:hint="eastAsia" w:eastAsia="黑体"/>
          <w:color w:val="000000"/>
          <w:sz w:val="18"/>
          <w:szCs w:val="18"/>
        </w:rPr>
        <w:t>的含量</w:t>
      </w:r>
    </w:p>
    <w:tbl>
      <w:tblPr>
        <w:tblStyle w:val="5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586"/>
        <w:gridCol w:w="1494"/>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涂料类别</w:t>
            </w:r>
          </w:p>
        </w:tc>
        <w:tc>
          <w:tcPr>
            <w:tcW w:w="1586" w:type="dxa"/>
            <w:vAlign w:val="center"/>
          </w:tcPr>
          <w:p>
            <w:pPr>
              <w:pStyle w:val="59"/>
              <w:spacing w:line="380" w:lineRule="atLeast"/>
              <w:ind w:firstLine="0" w:firstLineChars="0"/>
              <w:jc w:val="center"/>
              <w:rPr>
                <w:color w:val="000000"/>
                <w:sz w:val="15"/>
                <w:szCs w:val="15"/>
              </w:rPr>
            </w:pPr>
            <w:r>
              <w:rPr>
                <w:rFonts w:hint="eastAsia" w:eastAsia="黑体"/>
                <w:color w:val="000000"/>
                <w:sz w:val="18"/>
                <w:szCs w:val="18"/>
              </w:rPr>
              <w:t>VOC</w:t>
            </w:r>
            <w:r>
              <w:rPr>
                <w:rFonts w:hint="eastAsia"/>
                <w:color w:val="000000"/>
                <w:sz w:val="15"/>
                <w:szCs w:val="15"/>
              </w:rPr>
              <w:t xml:space="preserve"> /（g/L）</w:t>
            </w:r>
          </w:p>
        </w:tc>
        <w:tc>
          <w:tcPr>
            <w:tcW w:w="1494" w:type="dxa"/>
            <w:vAlign w:val="center"/>
          </w:tcPr>
          <w:p>
            <w:pPr>
              <w:pStyle w:val="59"/>
              <w:spacing w:line="380" w:lineRule="atLeast"/>
              <w:ind w:firstLine="0" w:firstLineChars="0"/>
              <w:jc w:val="center"/>
              <w:rPr>
                <w:color w:val="000000"/>
                <w:sz w:val="15"/>
                <w:szCs w:val="15"/>
              </w:rPr>
            </w:pPr>
            <w:r>
              <w:rPr>
                <w:rFonts w:hint="eastAsia"/>
                <w:color w:val="000000"/>
                <w:sz w:val="15"/>
                <w:szCs w:val="15"/>
              </w:rPr>
              <w:t>苯/%</w:t>
            </w:r>
          </w:p>
        </w:tc>
        <w:tc>
          <w:tcPr>
            <w:tcW w:w="1362" w:type="dxa"/>
            <w:vAlign w:val="center"/>
          </w:tcPr>
          <w:p>
            <w:pPr>
              <w:pStyle w:val="59"/>
              <w:spacing w:line="380" w:lineRule="atLeast"/>
              <w:ind w:firstLine="0" w:firstLineChars="0"/>
              <w:jc w:val="center"/>
              <w:rPr>
                <w:color w:val="000000"/>
                <w:sz w:val="15"/>
                <w:szCs w:val="15"/>
              </w:rPr>
            </w:pPr>
            <w:r>
              <w:rPr>
                <w:rFonts w:hint="eastAsia"/>
                <w:color w:val="000000"/>
                <w:sz w:val="15"/>
                <w:szCs w:val="15"/>
              </w:rPr>
              <w:t>甲苯</w:t>
            </w:r>
            <w:r>
              <w:rPr>
                <w:color w:val="000000"/>
                <w:sz w:val="15"/>
                <w:szCs w:val="15"/>
              </w:rPr>
              <w:t>+二甲苯+乙苯</w:t>
            </w:r>
            <w:r>
              <w:rPr>
                <w:rFonts w:hint="eastAsia"/>
                <w:color w:val="000000"/>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醇酸类涂料</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500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硝基类涂料</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720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聚氨酯类涂料</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670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酚醛防锈漆</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270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其他溶剂型涂料</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600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4" w:type="dxa"/>
            <w:vAlign w:val="center"/>
          </w:tcPr>
          <w:p>
            <w:pPr>
              <w:pStyle w:val="59"/>
              <w:spacing w:line="380" w:lineRule="atLeast"/>
              <w:ind w:firstLine="0" w:firstLineChars="0"/>
              <w:jc w:val="center"/>
              <w:rPr>
                <w:color w:val="000000"/>
                <w:sz w:val="15"/>
                <w:szCs w:val="15"/>
              </w:rPr>
            </w:pPr>
            <w:r>
              <w:rPr>
                <w:rFonts w:hint="eastAsia"/>
                <w:color w:val="000000"/>
                <w:sz w:val="15"/>
                <w:szCs w:val="15"/>
              </w:rPr>
              <w:t>木器用溶剂型腻子</w:t>
            </w:r>
          </w:p>
        </w:tc>
        <w:tc>
          <w:tcPr>
            <w:tcW w:w="1586"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550</w:t>
            </w:r>
          </w:p>
        </w:tc>
        <w:tc>
          <w:tcPr>
            <w:tcW w:w="1494"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0.3</w:t>
            </w:r>
          </w:p>
        </w:tc>
        <w:tc>
          <w:tcPr>
            <w:tcW w:w="1362" w:type="dxa"/>
            <w:vAlign w:val="center"/>
          </w:tcPr>
          <w:p>
            <w:pPr>
              <w:pStyle w:val="59"/>
              <w:spacing w:line="380" w:lineRule="atLeast"/>
              <w:ind w:firstLine="0" w:firstLineChars="0"/>
              <w:jc w:val="center"/>
              <w:rPr>
                <w:color w:val="000000"/>
                <w:sz w:val="15"/>
                <w:szCs w:val="15"/>
              </w:rPr>
            </w:pPr>
            <w:r>
              <w:rPr>
                <w:color w:val="000000"/>
                <w:sz w:val="15"/>
                <w:szCs w:val="15"/>
              </w:rPr>
              <w:t>≤</w:t>
            </w:r>
            <w:r>
              <w:rPr>
                <w:rFonts w:hint="eastAsia"/>
                <w:color w:val="000000"/>
                <w:sz w:val="15"/>
                <w:szCs w:val="15"/>
              </w:rPr>
              <w:t>30</w:t>
            </w:r>
          </w:p>
        </w:tc>
      </w:tr>
    </w:tbl>
    <w:p>
      <w:pPr>
        <w:pStyle w:val="59"/>
        <w:spacing w:line="380" w:lineRule="atLeast"/>
        <w:ind w:firstLine="420"/>
        <w:rPr>
          <w:rFonts w:eastAsia="华文仿宋"/>
          <w:color w:val="000000"/>
          <w:sz w:val="21"/>
          <w:szCs w:val="21"/>
        </w:rPr>
      </w:pPr>
      <w:r>
        <w:rPr>
          <w:rFonts w:eastAsia="华文仿宋"/>
          <w:color w:val="000000"/>
          <w:sz w:val="21"/>
          <w:szCs w:val="21"/>
        </w:rPr>
        <w:t>聚乙烯醇水玻璃内墙涂料、聚乙烯醇缩甲醛内墙涂料或以硝化纤维素为主的树脂，以二甲苯为主溶剂的O/W多彩内墙涂料，施工时挥发大量甲醛和苯等有害物，对室内环境造成严重污染。我国部分地区已将其列为淘汰产品，可以用低污染的水性内墙涂料替代。</w:t>
      </w:r>
    </w:p>
    <w:p>
      <w:pPr>
        <w:widowControl/>
        <w:spacing w:line="360" w:lineRule="exact"/>
        <w:ind w:firstLine="420" w:firstLineChars="200"/>
        <w:rPr>
          <w:bCs/>
          <w:color w:val="000000"/>
          <w:szCs w:val="21"/>
        </w:rPr>
      </w:pPr>
      <w:r>
        <w:rPr>
          <w:rFonts w:eastAsia="华文仿宋"/>
          <w:color w:val="000000"/>
          <w:szCs w:val="21"/>
        </w:rPr>
        <w:t>本条的评价方法为：评价查阅施工图及材料使用清单，并提交涂料检测合格报告。</w:t>
      </w:r>
    </w:p>
    <w:p>
      <w:pPr>
        <w:widowControl/>
        <w:spacing w:line="360" w:lineRule="exact"/>
        <w:rPr>
          <w:bCs/>
          <w:color w:val="000000"/>
          <w:szCs w:val="21"/>
        </w:rPr>
      </w:pPr>
      <w:r>
        <w:rPr>
          <w:b/>
          <w:bCs/>
          <w:color w:val="000000"/>
          <w:szCs w:val="21"/>
        </w:rPr>
        <w:t>6.2.9</w:t>
      </w:r>
      <w:r>
        <w:rPr>
          <w:bCs/>
          <w:color w:val="000000"/>
          <w:szCs w:val="21"/>
        </w:rPr>
        <w:t>  </w:t>
      </w:r>
      <w:r>
        <w:rPr>
          <w:rFonts w:hint="eastAsia"/>
          <w:bCs/>
          <w:color w:val="000000"/>
          <w:szCs w:val="21"/>
        </w:rPr>
        <w:t>室内施工胶黏剂时，采取有效措施控制空气污染排放，评</w:t>
      </w:r>
    </w:p>
    <w:p>
      <w:pPr>
        <w:widowControl/>
        <w:spacing w:line="360" w:lineRule="exact"/>
        <w:rPr>
          <w:bCs/>
          <w:color w:val="000000"/>
          <w:szCs w:val="21"/>
        </w:rPr>
      </w:pPr>
      <w:r>
        <w:rPr>
          <w:rFonts w:hint="eastAsia"/>
          <w:bCs/>
          <w:color w:val="000000"/>
          <w:szCs w:val="21"/>
        </w:rPr>
        <w:t>价总分值为</w:t>
      </w:r>
      <w:r>
        <w:rPr>
          <w:bCs/>
          <w:color w:val="000000"/>
          <w:szCs w:val="21"/>
        </w:rPr>
        <w:t>10</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w:t>
      </w:r>
      <w:r>
        <w:rPr>
          <w:bCs/>
          <w:color w:val="000000"/>
          <w:szCs w:val="21"/>
        </w:rPr>
        <w:t>聚氨酯胶黏剂测定游离甲苯二异氰酸酯</w:t>
      </w:r>
      <w:r>
        <w:rPr>
          <w:rFonts w:hint="eastAsia"/>
          <w:bCs/>
          <w:color w:val="000000"/>
          <w:szCs w:val="21"/>
        </w:rPr>
        <w:t>（</w:t>
      </w:r>
      <w:r>
        <w:rPr>
          <w:bCs/>
          <w:color w:val="000000"/>
          <w:szCs w:val="21"/>
        </w:rPr>
        <w:t>TDI</w:t>
      </w:r>
      <w:r>
        <w:rPr>
          <w:rFonts w:hint="eastAsia"/>
          <w:bCs/>
          <w:color w:val="000000"/>
          <w:szCs w:val="21"/>
        </w:rPr>
        <w:t>）</w:t>
      </w:r>
      <w:r>
        <w:rPr>
          <w:bCs/>
          <w:color w:val="000000"/>
          <w:szCs w:val="21"/>
        </w:rPr>
        <w:t>的含量</w:t>
      </w:r>
      <w:r>
        <w:rPr>
          <w:rFonts w:hint="eastAsia"/>
          <w:bCs/>
          <w:color w:val="000000"/>
          <w:szCs w:val="21"/>
        </w:rPr>
        <w:t>，</w:t>
      </w:r>
      <w:r>
        <w:rPr>
          <w:bCs/>
          <w:color w:val="000000"/>
          <w:szCs w:val="21"/>
        </w:rPr>
        <w:t>按产品推荐的最</w:t>
      </w:r>
      <w:r>
        <w:rPr>
          <w:rFonts w:hint="eastAsia"/>
          <w:bCs/>
          <w:color w:val="000000"/>
          <w:szCs w:val="21"/>
        </w:rPr>
        <w:t>小稀释量计算聚氨酯中游离甲苯二异氰酸酯(TDI)含量，且不大于4g/kg，测定方法符合现行国家标准《室内装饰装修材料   胶粘剂中有害物质限量》</w:t>
      </w:r>
      <w:r>
        <w:rPr>
          <w:bCs/>
          <w:color w:val="000000"/>
          <w:szCs w:val="21"/>
        </w:rPr>
        <w:t>GB18583</w:t>
      </w:r>
      <w:r>
        <w:rPr>
          <w:rFonts w:hint="eastAsia"/>
          <w:bCs/>
          <w:color w:val="000000"/>
          <w:szCs w:val="21"/>
        </w:rPr>
        <w:t>的规定，得</w:t>
      </w: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 xml:space="preserve">2  </w:t>
      </w:r>
      <w:r>
        <w:rPr>
          <w:rFonts w:hint="eastAsia"/>
          <w:bCs/>
          <w:color w:val="000000"/>
          <w:szCs w:val="21"/>
        </w:rPr>
        <w:t>Ⅰ类民用建筑工程室内装修粘贴塑料地板时，未采用施工溶剂型胶粘剂，Ⅱ类民用建筑工程室内装修粘贴塑料地板时，未</w:t>
      </w:r>
    </w:p>
    <w:p>
      <w:pPr>
        <w:widowControl/>
        <w:spacing w:line="360" w:lineRule="exact"/>
        <w:rPr>
          <w:bCs/>
          <w:color w:val="000000"/>
          <w:szCs w:val="21"/>
        </w:rPr>
      </w:pPr>
      <w:r>
        <w:rPr>
          <w:rFonts w:hint="eastAsia"/>
          <w:bCs/>
          <w:color w:val="000000"/>
          <w:szCs w:val="21"/>
        </w:rPr>
        <w:t>采用塑料胶粘剂，得</w:t>
      </w:r>
      <w:r>
        <w:rPr>
          <w:bCs/>
          <w:color w:val="000000"/>
          <w:szCs w:val="21"/>
        </w:rPr>
        <w:t>4</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 xml:space="preserve">3  </w:t>
      </w:r>
      <w:r>
        <w:rPr>
          <w:rFonts w:hint="eastAsia"/>
          <w:bCs/>
          <w:color w:val="000000"/>
          <w:szCs w:val="21"/>
        </w:rPr>
        <w:t>未采用聚乙烯醇缩甲醛类胶粘剂，得</w:t>
      </w:r>
      <w:r>
        <w:rPr>
          <w:bCs/>
          <w:color w:val="000000"/>
          <w:szCs w:val="21"/>
        </w:rPr>
        <w:t>2</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color w:val="000000"/>
          <w:sz w:val="21"/>
          <w:szCs w:val="21"/>
        </w:rPr>
        <w:t xml:space="preserve">6.2.9  </w:t>
      </w:r>
      <w:r>
        <w:rPr>
          <w:rFonts w:hint="eastAsia" w:eastAsia="华文仿宋"/>
          <w:color w:val="000000"/>
          <w:sz w:val="21"/>
          <w:szCs w:val="21"/>
        </w:rPr>
        <w:t>本条适用于各类民用建筑室内全装修的评价。</w:t>
      </w:r>
    </w:p>
    <w:p>
      <w:pPr>
        <w:pStyle w:val="59"/>
        <w:spacing w:line="380" w:lineRule="atLeast"/>
        <w:ind w:firstLine="420"/>
        <w:rPr>
          <w:rFonts w:eastAsia="华文仿宋"/>
          <w:color w:val="000000"/>
          <w:sz w:val="21"/>
          <w:szCs w:val="21"/>
        </w:rPr>
      </w:pPr>
      <w:r>
        <w:rPr>
          <w:rFonts w:eastAsia="华文仿宋"/>
          <w:color w:val="000000"/>
          <w:sz w:val="21"/>
          <w:szCs w:val="21"/>
        </w:rPr>
        <w:t>聚氨酯漆中含有毒性较大的二异氯酸酯（TDI、HD），其含量符合《室内装饰装修材料  溶剂型木器涂料中有害物质限量》GB 18581的规定，要求游离TDI含量不大于4g/kg，测定方法符合现行国家标准《色漆和清漆用漆基异酸酯树脂中二异氯酸酯单体的测定》GB/T 18446的规定。</w:t>
      </w:r>
    </w:p>
    <w:p>
      <w:pPr>
        <w:pStyle w:val="59"/>
        <w:spacing w:line="380" w:lineRule="atLeast"/>
        <w:ind w:firstLine="420"/>
        <w:rPr>
          <w:rFonts w:eastAsia="华文仿宋"/>
          <w:color w:val="000000"/>
          <w:sz w:val="21"/>
          <w:szCs w:val="21"/>
        </w:rPr>
      </w:pPr>
      <w:r>
        <w:rPr>
          <w:rFonts w:eastAsia="华文仿宋"/>
          <w:color w:val="000000"/>
          <w:sz w:val="21"/>
          <w:szCs w:val="21"/>
        </w:rPr>
        <w:t>溶剂型胶粘剂粘點地板时，胶粘剂中的有机溶剂会被封在塑料地板与楼（地）面之间，有害气体迟迟散发不尽。</w:t>
      </w:r>
      <w:r>
        <w:rPr>
          <w:rFonts w:hint="eastAsia" w:ascii="宋体" w:hAnsi="宋体" w:cs="宋体"/>
          <w:color w:val="000000"/>
          <w:sz w:val="21"/>
          <w:szCs w:val="21"/>
        </w:rPr>
        <w:t>Ⅰ</w:t>
      </w:r>
      <w:r>
        <w:rPr>
          <w:rFonts w:eastAsia="华文仿宋"/>
          <w:color w:val="000000"/>
          <w:sz w:val="21"/>
          <w:szCs w:val="21"/>
        </w:rPr>
        <w:t>类民用建筑工程室内地面承受负荷不大，粘贴塑料地板时可选用水性胶粘剂。</w:t>
      </w:r>
      <w:r>
        <w:rPr>
          <w:rFonts w:hint="eastAsia" w:ascii="宋体" w:hAnsi="宋体" w:cs="宋体"/>
          <w:color w:val="000000"/>
          <w:sz w:val="21"/>
          <w:szCs w:val="21"/>
        </w:rPr>
        <w:t>Ⅱ</w:t>
      </w:r>
      <w:r>
        <w:rPr>
          <w:rFonts w:eastAsia="华文仿宋"/>
          <w:color w:val="000000"/>
          <w:sz w:val="21"/>
          <w:szCs w:val="21"/>
        </w:rPr>
        <w:t>类民用建筑工程中地下室及不与室外直接自然通风的房间，难以排放溶剂型胶粘剂中的有害溶剂，故能在保逾塑料地板粘结强度的条件下，尽可能采用水性胶粘剂。聚乙烯醇缩甲醛类胶粘剂甲醛含量较高，若用于粘贴壁纸等材料，释放出大量的甲醛迟迟不能散尽，绿色室内装饰装修中鼓励不使用此类胶粘剂。</w:t>
      </w:r>
    </w:p>
    <w:p>
      <w:pPr>
        <w:widowControl/>
        <w:spacing w:line="360" w:lineRule="exact"/>
        <w:ind w:firstLine="420" w:firstLineChars="200"/>
        <w:rPr>
          <w:rFonts w:eastAsia="华文仿宋"/>
          <w:bCs/>
          <w:color w:val="000000"/>
          <w:szCs w:val="21"/>
        </w:rPr>
      </w:pPr>
      <w:r>
        <w:rPr>
          <w:rFonts w:eastAsia="华文仿宋"/>
          <w:color w:val="000000"/>
          <w:szCs w:val="21"/>
        </w:rPr>
        <w:t>本条的评价方法为：评价查阅施工图及材料使用清单，提交胶粘剂检测报告、产品说明书。</w:t>
      </w:r>
    </w:p>
    <w:p>
      <w:pPr>
        <w:widowControl/>
        <w:spacing w:line="360" w:lineRule="exact"/>
        <w:rPr>
          <w:bCs/>
          <w:color w:val="000000"/>
          <w:szCs w:val="21"/>
        </w:rPr>
      </w:pPr>
      <w:r>
        <w:rPr>
          <w:rFonts w:hint="eastAsia"/>
          <w:b/>
          <w:bCs/>
          <w:color w:val="000000"/>
          <w:szCs w:val="21"/>
        </w:rPr>
        <w:t>6.2.10</w:t>
      </w:r>
      <w:r>
        <w:rPr>
          <w:rFonts w:hint="eastAsia"/>
          <w:bCs/>
          <w:color w:val="000000"/>
          <w:szCs w:val="21"/>
        </w:rPr>
        <w:t xml:space="preserve">  室内施工保温隔热和吸声材料，未使用使用施工脲醛树脂泡沫塑料材料，评价分值为</w:t>
      </w:r>
      <w:r>
        <w:rPr>
          <w:bCs/>
          <w:color w:val="000000"/>
          <w:szCs w:val="21"/>
        </w:rPr>
        <w:t>9</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eastAsia="宋体"/>
          <w:b/>
          <w:color w:val="000000"/>
          <w:szCs w:val="21"/>
        </w:rPr>
        <w:t xml:space="preserve">6.2.10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eastAsia="华文仿宋"/>
          <w:color w:val="000000"/>
          <w:szCs w:val="21"/>
        </w:rPr>
        <w:t>脲醛树脂泡沫塑料价格低廉，但作为室内保温、隔热、吸声材料时会持续释放出甲醛气体，故应尽量采用其他替换类型的材料。</w:t>
      </w:r>
    </w:p>
    <w:p>
      <w:pPr>
        <w:adjustRightInd w:val="0"/>
        <w:spacing w:line="380" w:lineRule="atLeast"/>
        <w:ind w:firstLine="420" w:firstLineChars="200"/>
        <w:outlineLvl w:val="2"/>
        <w:rPr>
          <w:rFonts w:eastAsia="华文仿宋"/>
          <w:b/>
          <w:color w:val="000000"/>
          <w:sz w:val="24"/>
          <w:szCs w:val="21"/>
        </w:rPr>
      </w:pPr>
      <w:r>
        <w:rPr>
          <w:rFonts w:eastAsia="华文仿宋"/>
          <w:color w:val="000000"/>
          <w:szCs w:val="21"/>
        </w:rPr>
        <w:t>本条的评价方法为：评价查阅施工图及材料使用清单，并提交保温隔热和吸声材料不含脲醛树脂厂家证明与检测报告。</w:t>
      </w:r>
    </w:p>
    <w:p>
      <w:pPr>
        <w:widowControl/>
        <w:spacing w:line="360" w:lineRule="exact"/>
        <w:rPr>
          <w:bCs/>
          <w:color w:val="000000"/>
          <w:szCs w:val="21"/>
        </w:rPr>
      </w:pPr>
      <w:r>
        <w:rPr>
          <w:b/>
          <w:bCs/>
          <w:color w:val="000000"/>
          <w:szCs w:val="21"/>
        </w:rPr>
        <w:t>6.2.11</w:t>
      </w:r>
      <w:r>
        <w:rPr>
          <w:bCs/>
          <w:color w:val="000000"/>
          <w:szCs w:val="21"/>
        </w:rPr>
        <w:t>  </w:t>
      </w:r>
      <w:r>
        <w:rPr>
          <w:rFonts w:hint="eastAsia"/>
          <w:bCs/>
          <w:color w:val="000000"/>
          <w:szCs w:val="21"/>
        </w:rPr>
        <w:t>在室内装饰装修施工中，采取有效措施，减少空气污染排放，评价总分值为</w:t>
      </w:r>
      <w:r>
        <w:rPr>
          <w:bCs/>
          <w:color w:val="000000"/>
          <w:szCs w:val="21"/>
        </w:rPr>
        <w:t>8</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涂料、胶粘剂、水性处理剂、稀释剂和溶剂设置封闭存放并有良好通风的贮存点（房），其废料及时清运，得</w:t>
      </w:r>
      <w:r>
        <w:rPr>
          <w:bCs/>
          <w:color w:val="000000"/>
          <w:szCs w:val="21"/>
        </w:rPr>
        <w:t>2</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室内装饰装修材料施工时，未采用苯、甲苯、二甲苯和汽油进行除油和清除旧油漆作业，得</w:t>
      </w:r>
      <w:r>
        <w:rPr>
          <w:bCs/>
          <w:color w:val="000000"/>
          <w:szCs w:val="21"/>
        </w:rPr>
        <w:t>2</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 xml:space="preserve">3  </w:t>
      </w:r>
      <w:r>
        <w:rPr>
          <w:rFonts w:hint="eastAsia"/>
          <w:bCs/>
          <w:color w:val="000000"/>
          <w:szCs w:val="21"/>
        </w:rPr>
        <w:t>室内装饰装修施工未在采暖期内进行，得</w:t>
      </w:r>
      <w:r>
        <w:rPr>
          <w:bCs/>
          <w:color w:val="000000"/>
          <w:szCs w:val="21"/>
        </w:rPr>
        <w:t>2</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 xml:space="preserve">4  </w:t>
      </w:r>
      <w:r>
        <w:rPr>
          <w:rFonts w:hint="eastAsia"/>
          <w:bCs/>
          <w:color w:val="000000"/>
          <w:szCs w:val="21"/>
        </w:rPr>
        <w:t>壁纸（布）、地毯、地饰板、吊顶等施工时，采取防潮措施，避免覆盖局部潮湿区域，得</w:t>
      </w:r>
      <w:r>
        <w:rPr>
          <w:bCs/>
          <w:color w:val="000000"/>
          <w:szCs w:val="21"/>
        </w:rPr>
        <w:t>2</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color w:val="000000"/>
          <w:sz w:val="21"/>
          <w:szCs w:val="21"/>
        </w:rPr>
        <w:t xml:space="preserve">6.2.11  </w:t>
      </w:r>
      <w:r>
        <w:rPr>
          <w:rFonts w:hint="eastAsia" w:eastAsia="华文仿宋"/>
          <w:color w:val="000000"/>
          <w:sz w:val="21"/>
          <w:szCs w:val="21"/>
        </w:rPr>
        <w:t>本条适用于各类民用建筑室内全装修的评价。</w:t>
      </w:r>
    </w:p>
    <w:p>
      <w:pPr>
        <w:pStyle w:val="59"/>
        <w:spacing w:line="380" w:lineRule="atLeast"/>
        <w:ind w:firstLine="420"/>
        <w:rPr>
          <w:rFonts w:eastAsia="华文仿宋"/>
          <w:color w:val="000000"/>
          <w:sz w:val="21"/>
          <w:szCs w:val="21"/>
        </w:rPr>
      </w:pPr>
      <w:r>
        <w:rPr>
          <w:rFonts w:eastAsia="华文仿宋"/>
          <w:color w:val="000000"/>
          <w:sz w:val="21"/>
          <w:szCs w:val="21"/>
        </w:rPr>
        <w:t>1  对挥发性的材料进行封闭保存不但可减轻有害气体对室内环境的污染而且可以保证材料的品质。剩余的废料及时清出室内，不在室内用溶剂清洗施工用具，是施工人员必须具备的保护室内环境基本的素质。</w:t>
      </w:r>
    </w:p>
    <w:p>
      <w:pPr>
        <w:pStyle w:val="59"/>
        <w:spacing w:line="380" w:lineRule="atLeast"/>
        <w:ind w:firstLine="420"/>
        <w:rPr>
          <w:rFonts w:eastAsia="华文仿宋"/>
          <w:color w:val="000000"/>
          <w:sz w:val="21"/>
          <w:szCs w:val="21"/>
        </w:rPr>
      </w:pPr>
      <w:r>
        <w:rPr>
          <w:rFonts w:eastAsia="华文仿宋"/>
          <w:color w:val="000000"/>
          <w:sz w:val="21"/>
          <w:szCs w:val="21"/>
        </w:rPr>
        <w:t>2  室内装饰装修施工中除油和清除旧油漆作业符合现行国家标准《涂装作业安全规程涂漆前处理工艺安全及其通风净化》GB 7692等涂装作业安全规程系列国家标准的规定要求</w:t>
      </w:r>
    </w:p>
    <w:p>
      <w:pPr>
        <w:pStyle w:val="59"/>
        <w:spacing w:line="380" w:lineRule="atLeast"/>
        <w:ind w:firstLine="420"/>
        <w:rPr>
          <w:rFonts w:eastAsia="华文仿宋"/>
          <w:color w:val="000000"/>
          <w:sz w:val="21"/>
          <w:szCs w:val="21"/>
        </w:rPr>
      </w:pPr>
      <w:r>
        <w:rPr>
          <w:rFonts w:eastAsia="华文仿宋"/>
          <w:color w:val="000000"/>
          <w:sz w:val="21"/>
          <w:szCs w:val="21"/>
        </w:rPr>
        <w:t>3  民用建筑工程在采暖期施工时，难以保证通风换气，不利于室内有害气体的向外排放，对邻居或同楼的用户污染危害大，也危害施工人员的健康，因此以避开采暖期施工为好。</w:t>
      </w:r>
    </w:p>
    <w:p>
      <w:pPr>
        <w:pStyle w:val="59"/>
        <w:spacing w:line="380" w:lineRule="atLeast"/>
        <w:ind w:firstLine="420"/>
        <w:rPr>
          <w:rFonts w:eastAsia="华文仿宋"/>
          <w:color w:val="000000"/>
          <w:sz w:val="21"/>
          <w:szCs w:val="21"/>
        </w:rPr>
      </w:pPr>
      <w:r>
        <w:rPr>
          <w:rFonts w:eastAsia="华文仿宋"/>
          <w:color w:val="000000"/>
          <w:sz w:val="21"/>
          <w:szCs w:val="21"/>
        </w:rPr>
        <w:t>本条的评价方法为：评价查阅施工图、贮存点平面位置、除油和清除旧油漆清除剂、开工日期与完工日期、防潮措施。</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Ⅱ  资源</w:t>
      </w:r>
      <w:r>
        <w:rPr>
          <w:rFonts w:cs="宋体"/>
          <w:color w:val="000000"/>
          <w:sz w:val="21"/>
          <w:szCs w:val="21"/>
        </w:rPr>
        <w:t>节约</w:t>
      </w:r>
    </w:p>
    <w:p>
      <w:pPr>
        <w:widowControl/>
        <w:spacing w:line="360" w:lineRule="exact"/>
        <w:rPr>
          <w:bCs/>
          <w:color w:val="000000"/>
          <w:szCs w:val="21"/>
        </w:rPr>
      </w:pPr>
      <w:r>
        <w:rPr>
          <w:rFonts w:hint="eastAsia"/>
          <w:b/>
          <w:bCs/>
          <w:color w:val="000000"/>
          <w:szCs w:val="21"/>
        </w:rPr>
        <w:t xml:space="preserve">6.2.12  </w:t>
      </w:r>
      <w:r>
        <w:rPr>
          <w:rFonts w:hint="eastAsia"/>
          <w:bCs/>
          <w:color w:val="000000"/>
          <w:szCs w:val="21"/>
        </w:rPr>
        <w:t>制定和实施室内全装修材料的节材和材料资源利用措施，评价总分值为</w:t>
      </w:r>
      <w:r>
        <w:rPr>
          <w:bCs/>
          <w:color w:val="000000"/>
          <w:szCs w:val="21"/>
        </w:rPr>
        <w:t>8</w:t>
      </w:r>
      <w:r>
        <w:rPr>
          <w:rFonts w:hint="eastAsia"/>
          <w:bCs/>
          <w:color w:val="000000"/>
          <w:szCs w:val="21"/>
        </w:rPr>
        <w:t>分，并按下列规则分别评分并累计：</w:t>
      </w:r>
    </w:p>
    <w:p>
      <w:pPr>
        <w:widowControl/>
        <w:spacing w:line="360" w:lineRule="exact"/>
        <w:ind w:firstLine="435"/>
        <w:rPr>
          <w:bCs/>
          <w:color w:val="000000"/>
          <w:szCs w:val="21"/>
        </w:rPr>
      </w:pPr>
      <w:r>
        <w:rPr>
          <w:rFonts w:hint="eastAsia"/>
          <w:b/>
          <w:bCs/>
          <w:color w:val="000000"/>
          <w:szCs w:val="21"/>
        </w:rPr>
        <w:t xml:space="preserve">1  </w:t>
      </w:r>
      <w:r>
        <w:rPr>
          <w:rFonts w:hint="eastAsia"/>
          <w:bCs/>
          <w:color w:val="000000"/>
          <w:szCs w:val="21"/>
        </w:rPr>
        <w:t>根据室内装饰装修施工进度、材料使用时点和库存情况，制定和实施材料采购和使用、限额领料、周转材料、保养维护、低耗材料包装和科学运输方法的节材优化管理，得</w:t>
      </w:r>
      <w:r>
        <w:rPr>
          <w:bCs/>
          <w:color w:val="000000"/>
          <w:szCs w:val="21"/>
        </w:rPr>
        <w:t>4</w:t>
      </w:r>
      <w:r>
        <w:rPr>
          <w:rFonts w:hint="eastAsia"/>
          <w:bCs/>
          <w:color w:val="000000"/>
          <w:szCs w:val="21"/>
        </w:rPr>
        <w:t>分；</w:t>
      </w:r>
    </w:p>
    <w:p>
      <w:pPr>
        <w:widowControl/>
        <w:spacing w:line="360" w:lineRule="exact"/>
        <w:ind w:firstLine="435"/>
        <w:rPr>
          <w:bCs/>
          <w:color w:val="000000"/>
          <w:szCs w:val="21"/>
        </w:rPr>
      </w:pPr>
      <w:r>
        <w:rPr>
          <w:rFonts w:hint="eastAsia"/>
          <w:b/>
          <w:bCs/>
          <w:color w:val="000000"/>
          <w:szCs w:val="21"/>
        </w:rPr>
        <w:t xml:space="preserve">2  </w:t>
      </w:r>
      <w:r>
        <w:rPr>
          <w:rFonts w:hint="eastAsia"/>
          <w:bCs/>
          <w:color w:val="000000"/>
          <w:szCs w:val="21"/>
        </w:rPr>
        <w:t>室内装饰面材、块材、板材和卷材镶贴以及控制面板等饰面材料进行排版优化，优化线材下料方案，得</w:t>
      </w:r>
      <w:r>
        <w:rPr>
          <w:bCs/>
          <w:color w:val="000000"/>
          <w:szCs w:val="21"/>
        </w:rPr>
        <w:t>4</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szCs w:val="21"/>
        </w:rPr>
      </w:pPr>
      <w:r>
        <w:rPr>
          <w:rFonts w:hint="eastAsia"/>
          <w:b/>
          <w:color w:val="000000"/>
          <w:szCs w:val="21"/>
        </w:rPr>
        <w:t xml:space="preserve">6.2.12  </w:t>
      </w:r>
      <w:r>
        <w:rPr>
          <w:rFonts w:hint="eastAsia" w:eastAsia="华文仿宋"/>
          <w:color w:val="000000"/>
          <w:szCs w:val="21"/>
        </w:rPr>
        <w:t>本条适用于各类民用建筑室内全装修的评价。</w:t>
      </w:r>
    </w:p>
    <w:p>
      <w:pPr>
        <w:ind w:firstLine="420" w:firstLineChars="200"/>
        <w:rPr>
          <w:rFonts w:eastAsia="华文仿宋"/>
          <w:color w:val="000000"/>
          <w:szCs w:val="21"/>
        </w:rPr>
      </w:pPr>
      <w:r>
        <w:rPr>
          <w:rFonts w:eastAsia="华文仿宋"/>
          <w:color w:val="000000"/>
          <w:szCs w:val="21"/>
        </w:rPr>
        <w:t>块材、板材、卷材类材料包括地砖、石材、石膏板、壁纸、地毯及木质、金属、塑料类，以及安装在室内的终端设备和控制面板等材料，施工前应进行合理排版，减少切割和因此产生的噪声及废料等。</w:t>
      </w:r>
    </w:p>
    <w:p>
      <w:pPr>
        <w:ind w:firstLine="420" w:firstLineChars="200"/>
        <w:rPr>
          <w:rFonts w:eastAsia="宋体"/>
          <w:color w:val="000000"/>
          <w:szCs w:val="21"/>
        </w:rPr>
      </w:pPr>
      <w:r>
        <w:rPr>
          <w:rFonts w:eastAsia="华文仿宋"/>
          <w:color w:val="000000"/>
          <w:szCs w:val="21"/>
        </w:rPr>
        <w:t>本条的评价方法为:评价查阅施工进度计划与工序安排、预先总体排版优化设计说明。</w:t>
      </w:r>
    </w:p>
    <w:p>
      <w:pPr>
        <w:widowControl/>
        <w:spacing w:line="360" w:lineRule="exact"/>
        <w:rPr>
          <w:bCs/>
          <w:color w:val="000000"/>
          <w:szCs w:val="21"/>
        </w:rPr>
      </w:pPr>
      <w:r>
        <w:rPr>
          <w:rFonts w:hint="eastAsia"/>
          <w:b/>
          <w:bCs/>
          <w:color w:val="000000"/>
          <w:szCs w:val="21"/>
        </w:rPr>
        <w:t xml:space="preserve">6.2.13  </w:t>
      </w:r>
      <w:r>
        <w:rPr>
          <w:rFonts w:hint="eastAsia"/>
          <w:bCs/>
          <w:color w:val="000000"/>
          <w:szCs w:val="21"/>
        </w:rPr>
        <w:t>合理控制室内装饰材料的损耗，评价最高分值为</w:t>
      </w:r>
      <w:r>
        <w:rPr>
          <w:bCs/>
          <w:color w:val="000000"/>
          <w:szCs w:val="21"/>
        </w:rPr>
        <w:t>8</w:t>
      </w:r>
      <w:r>
        <w:rPr>
          <w:rFonts w:hint="eastAsia"/>
          <w:bCs/>
          <w:color w:val="000000"/>
          <w:szCs w:val="21"/>
        </w:rPr>
        <w:t>分，根据主要装饰装修材料的损耗率比定额损耗率降低幅度按表6.2.13的规则评分。</w:t>
      </w:r>
    </w:p>
    <w:p>
      <w:pPr>
        <w:pStyle w:val="59"/>
        <w:spacing w:line="360" w:lineRule="exact"/>
        <w:ind w:firstLine="0" w:firstLineChars="0"/>
        <w:jc w:val="center"/>
        <w:rPr>
          <w:rFonts w:eastAsia="黑体" w:cs="黑体"/>
          <w:bCs/>
          <w:color w:val="000000"/>
          <w:sz w:val="18"/>
          <w:szCs w:val="18"/>
        </w:rPr>
      </w:pPr>
      <w:r>
        <w:rPr>
          <w:rFonts w:hint="eastAsia" w:eastAsia="黑体" w:cs="黑体"/>
          <w:bCs/>
          <w:color w:val="000000"/>
          <w:sz w:val="18"/>
          <w:szCs w:val="18"/>
        </w:rPr>
        <w:t>表6.2.13  装饰材料的耗损率降低幅度评分规则</w:t>
      </w:r>
    </w:p>
    <w:tbl>
      <w:tblPr>
        <w:tblStyle w:val="55"/>
        <w:tblW w:w="59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
      <w:tblGrid>
        <w:gridCol w:w="3407"/>
        <w:gridCol w:w="2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78" w:hRule="exact"/>
        </w:trPr>
        <w:tc>
          <w:tcPr>
            <w:tcW w:w="3407" w:type="dxa"/>
            <w:vAlign w:val="center"/>
          </w:tcPr>
          <w:p>
            <w:pPr>
              <w:spacing w:line="240" w:lineRule="exact"/>
              <w:jc w:val="center"/>
              <w:rPr>
                <w:color w:val="000000"/>
                <w:sz w:val="15"/>
                <w:szCs w:val="15"/>
              </w:rPr>
            </w:pPr>
            <w:r>
              <w:rPr>
                <w:rFonts w:hint="eastAsia"/>
                <w:color w:val="000000"/>
                <w:sz w:val="15"/>
                <w:szCs w:val="15"/>
              </w:rPr>
              <w:t>装饰材料的耗损率降低幅度D</w:t>
            </w:r>
            <w:r>
              <w:rPr>
                <w:rFonts w:hint="eastAsia"/>
                <w:color w:val="000000"/>
                <w:sz w:val="15"/>
                <w:szCs w:val="15"/>
                <w:vertAlign w:val="subscript"/>
              </w:rPr>
              <w:t>H</w:t>
            </w:r>
          </w:p>
        </w:tc>
        <w:tc>
          <w:tcPr>
            <w:tcW w:w="2499" w:type="dxa"/>
            <w:vAlign w:val="center"/>
          </w:tcPr>
          <w:p>
            <w:pPr>
              <w:spacing w:line="240" w:lineRule="exact"/>
              <w:jc w:val="center"/>
              <w:rPr>
                <w:color w:val="000000"/>
                <w:sz w:val="15"/>
                <w:szCs w:val="15"/>
              </w:rPr>
            </w:pPr>
            <w:r>
              <w:rPr>
                <w:color w:val="000000"/>
                <w:sz w:val="15"/>
                <w:szCs w:val="15"/>
              </w:rPr>
              <w:t>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80" w:hRule="exact"/>
        </w:trPr>
        <w:tc>
          <w:tcPr>
            <w:tcW w:w="3407" w:type="dxa"/>
            <w:vAlign w:val="center"/>
          </w:tcPr>
          <w:p>
            <w:pPr>
              <w:spacing w:line="240" w:lineRule="exact"/>
              <w:jc w:val="center"/>
              <w:rPr>
                <w:color w:val="000000"/>
                <w:sz w:val="15"/>
                <w:szCs w:val="15"/>
              </w:rPr>
            </w:pPr>
            <w:r>
              <w:rPr>
                <w:rFonts w:hint="eastAsia"/>
                <w:color w:val="000000"/>
                <w:sz w:val="15"/>
                <w:szCs w:val="15"/>
              </w:rPr>
              <w:t>3％</w:t>
            </w:r>
            <w:r>
              <w:rPr>
                <w:rFonts w:hint="eastAsia"/>
                <w:bCs/>
                <w:color w:val="000000"/>
                <w:sz w:val="15"/>
                <w:szCs w:val="15"/>
              </w:rPr>
              <w:t>≤</w:t>
            </w:r>
            <w:r>
              <w:rPr>
                <w:rFonts w:hint="eastAsia"/>
                <w:color w:val="000000"/>
                <w:sz w:val="15"/>
                <w:szCs w:val="15"/>
              </w:rPr>
              <w:t>D</w:t>
            </w:r>
            <w:r>
              <w:rPr>
                <w:rFonts w:hint="eastAsia"/>
                <w:color w:val="000000"/>
                <w:sz w:val="15"/>
                <w:szCs w:val="15"/>
                <w:vertAlign w:val="subscript"/>
              </w:rPr>
              <w:t>H</w:t>
            </w:r>
            <w:r>
              <w:rPr>
                <w:rFonts w:hint="eastAsia"/>
                <w:bCs/>
                <w:color w:val="000000"/>
                <w:sz w:val="15"/>
                <w:szCs w:val="15"/>
              </w:rPr>
              <w:t>≤5％</w:t>
            </w:r>
          </w:p>
        </w:tc>
        <w:tc>
          <w:tcPr>
            <w:tcW w:w="2499" w:type="dxa"/>
            <w:vAlign w:val="center"/>
          </w:tcPr>
          <w:p>
            <w:pPr>
              <w:spacing w:line="240" w:lineRule="exact"/>
              <w:jc w:val="center"/>
              <w:rPr>
                <w:color w:val="000000"/>
                <w:sz w:val="15"/>
                <w:szCs w:val="15"/>
              </w:rPr>
            </w:pPr>
            <w:r>
              <w:rPr>
                <w:color w:val="000000"/>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trPr>
        <w:tc>
          <w:tcPr>
            <w:tcW w:w="3407" w:type="dxa"/>
            <w:vAlign w:val="center"/>
          </w:tcPr>
          <w:p>
            <w:pPr>
              <w:spacing w:line="240" w:lineRule="exact"/>
              <w:jc w:val="center"/>
              <w:rPr>
                <w:color w:val="000000"/>
                <w:sz w:val="15"/>
                <w:szCs w:val="15"/>
              </w:rPr>
            </w:pPr>
            <w:r>
              <w:rPr>
                <w:rFonts w:hint="eastAsia"/>
                <w:color w:val="000000"/>
                <w:sz w:val="15"/>
                <w:szCs w:val="15"/>
              </w:rPr>
              <w:t>5％</w:t>
            </w:r>
            <w:r>
              <w:rPr>
                <w:bCs/>
                <w:color w:val="000000"/>
                <w:sz w:val="15"/>
                <w:szCs w:val="15"/>
              </w:rPr>
              <w:t>＜</w:t>
            </w:r>
            <w:r>
              <w:rPr>
                <w:rFonts w:hint="eastAsia"/>
                <w:color w:val="000000"/>
                <w:sz w:val="15"/>
                <w:szCs w:val="15"/>
              </w:rPr>
              <w:t>D</w:t>
            </w:r>
            <w:r>
              <w:rPr>
                <w:rFonts w:hint="eastAsia"/>
                <w:color w:val="000000"/>
                <w:sz w:val="15"/>
                <w:szCs w:val="15"/>
                <w:vertAlign w:val="subscript"/>
              </w:rPr>
              <w:t>H</w:t>
            </w:r>
            <w:r>
              <w:rPr>
                <w:rFonts w:hint="eastAsia"/>
                <w:bCs/>
                <w:color w:val="000000"/>
                <w:sz w:val="15"/>
                <w:szCs w:val="15"/>
              </w:rPr>
              <w:t>≤7％</w:t>
            </w:r>
          </w:p>
        </w:tc>
        <w:tc>
          <w:tcPr>
            <w:tcW w:w="2499" w:type="dxa"/>
            <w:vAlign w:val="center"/>
          </w:tcPr>
          <w:p>
            <w:pPr>
              <w:spacing w:line="240" w:lineRule="exact"/>
              <w:jc w:val="center"/>
              <w:rPr>
                <w:color w:val="000000"/>
                <w:sz w:val="15"/>
                <w:szCs w:val="15"/>
              </w:rPr>
            </w:pPr>
            <w:r>
              <w:rPr>
                <w:color w:val="000000"/>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PrEx>
        <w:trPr>
          <w:trHeight w:val="478" w:hRule="exact"/>
        </w:trPr>
        <w:tc>
          <w:tcPr>
            <w:tcW w:w="3407" w:type="dxa"/>
            <w:vAlign w:val="center"/>
          </w:tcPr>
          <w:p>
            <w:pPr>
              <w:spacing w:line="240" w:lineRule="exact"/>
              <w:jc w:val="center"/>
              <w:rPr>
                <w:color w:val="000000"/>
                <w:sz w:val="15"/>
                <w:szCs w:val="15"/>
              </w:rPr>
            </w:pPr>
            <w:r>
              <w:rPr>
                <w:rFonts w:hint="eastAsia"/>
                <w:color w:val="000000"/>
                <w:sz w:val="15"/>
                <w:szCs w:val="15"/>
              </w:rPr>
              <w:t>D</w:t>
            </w:r>
            <w:r>
              <w:rPr>
                <w:rFonts w:hint="eastAsia"/>
                <w:color w:val="000000"/>
                <w:sz w:val="15"/>
                <w:szCs w:val="15"/>
                <w:vertAlign w:val="subscript"/>
              </w:rPr>
              <w:t>H</w:t>
            </w:r>
            <w:r>
              <w:rPr>
                <w:rFonts w:hint="eastAsia"/>
                <w:bCs/>
                <w:color w:val="000000"/>
                <w:sz w:val="15"/>
                <w:szCs w:val="15"/>
              </w:rPr>
              <w:t>＞7％</w:t>
            </w:r>
          </w:p>
        </w:tc>
        <w:tc>
          <w:tcPr>
            <w:tcW w:w="2499" w:type="dxa"/>
            <w:vAlign w:val="center"/>
          </w:tcPr>
          <w:p>
            <w:pPr>
              <w:spacing w:line="240" w:lineRule="exact"/>
              <w:jc w:val="center"/>
              <w:rPr>
                <w:color w:val="000000"/>
                <w:sz w:val="15"/>
                <w:szCs w:val="15"/>
              </w:rPr>
            </w:pPr>
            <w:r>
              <w:rPr>
                <w:color w:val="000000"/>
                <w:sz w:val="15"/>
                <w:szCs w:val="15"/>
              </w:rPr>
              <w:t>8</w:t>
            </w:r>
          </w:p>
        </w:tc>
      </w:tr>
    </w:tbl>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rPr>
          <w:rFonts w:eastAsia="华文仿宋"/>
          <w:color w:val="000000"/>
          <w:szCs w:val="21"/>
        </w:rPr>
      </w:pPr>
      <w:r>
        <w:rPr>
          <w:rFonts w:hint="eastAsia"/>
          <w:b/>
          <w:color w:val="000000"/>
          <w:szCs w:val="21"/>
        </w:rPr>
        <w:t xml:space="preserve">6.2.13  </w:t>
      </w:r>
      <w:r>
        <w:rPr>
          <w:rFonts w:hint="eastAsia" w:eastAsia="华文仿宋"/>
          <w:color w:val="000000"/>
          <w:szCs w:val="21"/>
        </w:rPr>
        <w:t>本条适用于各类民用建筑室内全装修的评价。</w:t>
      </w:r>
    </w:p>
    <w:p>
      <w:pPr>
        <w:ind w:firstLine="420" w:firstLineChars="200"/>
        <w:rPr>
          <w:rFonts w:eastAsia="华文仿宋"/>
          <w:color w:val="000000"/>
          <w:szCs w:val="21"/>
        </w:rPr>
      </w:pPr>
      <w:r>
        <w:rPr>
          <w:rFonts w:eastAsia="华文仿宋"/>
          <w:color w:val="000000"/>
          <w:szCs w:val="21"/>
        </w:rPr>
        <w:t>减少室内装饰材料的损耗，降低室内装饰材料的消耗量是施工中节材的重点内容之一。由于我国各地方的施工工艺水平差别较大，各地方根据各地实际情况制定了不同的工程量预算定额，因此无法通过统一的材料损耗定额评定节材。本条的评价通过在各地室内装饰材料的损耗率基础上的降低幅度进行评定，即要求进行绿色装饰装修过程中装饰材料的损耗率要比当地规定的定额水平要低。</w:t>
      </w:r>
    </w:p>
    <w:p>
      <w:pPr>
        <w:ind w:firstLine="420" w:firstLineChars="200"/>
        <w:rPr>
          <w:rFonts w:eastAsia="华文仿宋"/>
          <w:color w:val="000000"/>
          <w:szCs w:val="21"/>
        </w:rPr>
      </w:pPr>
      <w:r>
        <w:rPr>
          <w:rFonts w:eastAsia="华文仿宋"/>
          <w:color w:val="000000"/>
          <w:szCs w:val="21"/>
        </w:rPr>
        <w:t>本条评价的室内装饰材料的损耗主要是指占整个室内装饰装修项目总材料重量80%的儿种主要材料损耗率。部分零星材料由于种类较多，统计工作量较大且材料用量不大，本条不作评价。</w:t>
      </w:r>
    </w:p>
    <w:p>
      <w:pPr>
        <w:ind w:firstLine="420" w:firstLineChars="200"/>
        <w:rPr>
          <w:rFonts w:eastAsia="华文仿宋"/>
          <w:color w:val="000000"/>
          <w:szCs w:val="21"/>
        </w:rPr>
      </w:pPr>
      <w:r>
        <w:rPr>
          <w:rFonts w:eastAsia="华文仿宋"/>
          <w:color w:val="000000"/>
          <w:szCs w:val="21"/>
        </w:rPr>
        <w:t xml:space="preserve">本条的评价方法为：评价查阅室内装饰材料用量结算清单、室内装饰材料进货单，施工过程室内装饰材料损耗率。 </w:t>
      </w:r>
    </w:p>
    <w:p>
      <w:pPr>
        <w:widowControl/>
        <w:spacing w:line="360" w:lineRule="exact"/>
        <w:rPr>
          <w:bCs/>
          <w:color w:val="000000"/>
          <w:szCs w:val="21"/>
        </w:rPr>
      </w:pPr>
      <w:r>
        <w:rPr>
          <w:rFonts w:hint="eastAsia"/>
          <w:b/>
          <w:bCs/>
          <w:color w:val="000000"/>
          <w:szCs w:val="21"/>
        </w:rPr>
        <w:t xml:space="preserve">6.2.14  </w:t>
      </w:r>
      <w:r>
        <w:rPr>
          <w:rFonts w:hint="eastAsia"/>
          <w:bCs/>
          <w:color w:val="000000"/>
          <w:szCs w:val="21"/>
        </w:rPr>
        <w:t>距离施工现场500km以内生产的室内装饰材料重量占室内装饰材料总重量的60%以上，评价分值为</w:t>
      </w:r>
      <w:r>
        <w:rPr>
          <w:bCs/>
          <w:color w:val="000000"/>
          <w:szCs w:val="21"/>
        </w:rPr>
        <w:t>6</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pStyle w:val="59"/>
        <w:spacing w:line="380" w:lineRule="atLeast"/>
        <w:ind w:firstLine="0" w:firstLineChars="0"/>
        <w:rPr>
          <w:rFonts w:eastAsia="华文仿宋"/>
          <w:color w:val="000000"/>
          <w:sz w:val="21"/>
          <w:szCs w:val="21"/>
        </w:rPr>
      </w:pPr>
      <w:r>
        <w:rPr>
          <w:rFonts w:hint="eastAsia"/>
          <w:b/>
          <w:color w:val="000000"/>
          <w:sz w:val="21"/>
          <w:szCs w:val="21"/>
        </w:rPr>
        <w:t xml:space="preserve">6.2.14 </w:t>
      </w:r>
      <w:r>
        <w:rPr>
          <w:rFonts w:hint="eastAsia"/>
          <w:color w:val="000000"/>
          <w:sz w:val="21"/>
          <w:szCs w:val="21"/>
        </w:rPr>
        <w:t xml:space="preserve"> </w:t>
      </w:r>
      <w:r>
        <w:rPr>
          <w:rFonts w:hint="eastAsia" w:eastAsia="华文仿宋"/>
          <w:color w:val="000000"/>
          <w:sz w:val="21"/>
          <w:szCs w:val="21"/>
        </w:rPr>
        <w:t>本条适用于各类民用建筑室内全装修的评价。</w:t>
      </w:r>
    </w:p>
    <w:p>
      <w:pPr>
        <w:pStyle w:val="59"/>
        <w:spacing w:line="380" w:lineRule="atLeast"/>
        <w:ind w:firstLine="420"/>
        <w:rPr>
          <w:rFonts w:eastAsia="华文仿宋"/>
          <w:color w:val="000000"/>
          <w:sz w:val="21"/>
          <w:szCs w:val="21"/>
        </w:rPr>
      </w:pPr>
      <w:r>
        <w:rPr>
          <w:rFonts w:eastAsia="华文仿宋"/>
          <w:color w:val="000000"/>
          <w:sz w:val="21"/>
          <w:szCs w:val="21"/>
        </w:rPr>
        <w:t>室内装饰材料本地化是减少运输过程资源和能源消耗、降低环境污染和碳排放的重要手段之一。本条鼓励使用本地生产的室内装饰装修材料，提高就地取材制成的室内装饰装修产品所占的比例。运输距离指室内装饰材料的最后一个生产工厂或场地到施工现场的距离。</w:t>
      </w:r>
    </w:p>
    <w:p>
      <w:pPr>
        <w:widowControl/>
        <w:spacing w:line="360" w:lineRule="exact"/>
        <w:ind w:firstLine="420" w:firstLineChars="200"/>
        <w:rPr>
          <w:rFonts w:eastAsia="华文仿宋"/>
          <w:bCs/>
          <w:color w:val="000000"/>
          <w:szCs w:val="21"/>
        </w:rPr>
      </w:pPr>
      <w:r>
        <w:rPr>
          <w:rFonts w:eastAsia="华文仿宋"/>
          <w:color w:val="000000"/>
          <w:szCs w:val="21"/>
        </w:rPr>
        <w:t>本条的评价方法为：评价核查材料进场记录、本地室内装饰装修材料使用比例计算书、有关证明文件。</w:t>
      </w:r>
    </w:p>
    <w:p>
      <w:pPr>
        <w:widowControl/>
        <w:spacing w:line="360" w:lineRule="exact"/>
        <w:rPr>
          <w:bCs/>
          <w:color w:val="000000"/>
          <w:szCs w:val="21"/>
        </w:rPr>
      </w:pPr>
      <w:r>
        <w:rPr>
          <w:rFonts w:hint="eastAsia"/>
          <w:b/>
          <w:bCs/>
          <w:color w:val="000000"/>
          <w:szCs w:val="21"/>
        </w:rPr>
        <w:t xml:space="preserve">6.2.15  </w:t>
      </w:r>
      <w:r>
        <w:rPr>
          <w:rFonts w:hint="eastAsia"/>
          <w:bCs/>
          <w:color w:val="000000"/>
          <w:szCs w:val="21"/>
        </w:rPr>
        <w:t>制定并实施施工节能和用能方案，监测并记录施工能耗，评价总分值为</w:t>
      </w:r>
      <w:r>
        <w:rPr>
          <w:bCs/>
          <w:color w:val="000000"/>
          <w:szCs w:val="21"/>
        </w:rPr>
        <w:t>8</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制定和实施施工区和生活区的施工和生活节能和用能方案，得4分；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监测并记录施工区、生活区的能耗，得4分；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exact"/>
        <w:rPr>
          <w:rFonts w:eastAsia="华文仿宋"/>
          <w:color w:val="000000"/>
          <w:szCs w:val="21"/>
        </w:rPr>
      </w:pPr>
      <w:r>
        <w:rPr>
          <w:rFonts w:hint="eastAsia"/>
          <w:b/>
          <w:color w:val="000000"/>
          <w:szCs w:val="21"/>
        </w:rPr>
        <w:t xml:space="preserve">6.2.15 </w:t>
      </w:r>
      <w:r>
        <w:rPr>
          <w:rFonts w:hint="eastAsia"/>
          <w:color w:val="000000"/>
          <w:szCs w:val="21"/>
        </w:rPr>
        <w:t xml:space="preserve"> </w:t>
      </w:r>
      <w:r>
        <w:rPr>
          <w:rFonts w:hint="eastAsia" w:eastAsia="华文仿宋"/>
          <w:color w:val="000000"/>
          <w:szCs w:val="21"/>
        </w:rPr>
        <w:t>本条适用于各类民用建筑室内全装修的评价。</w:t>
      </w:r>
    </w:p>
    <w:p>
      <w:pPr>
        <w:widowControl/>
        <w:spacing w:line="360" w:lineRule="exact"/>
        <w:ind w:firstLine="420" w:firstLineChars="200"/>
        <w:rPr>
          <w:rFonts w:eastAsia="华文仿宋"/>
          <w:color w:val="000000"/>
          <w:szCs w:val="21"/>
        </w:rPr>
      </w:pPr>
      <w:r>
        <w:rPr>
          <w:rFonts w:eastAsia="华文仿宋"/>
          <w:color w:val="000000"/>
          <w:szCs w:val="21"/>
        </w:rPr>
        <w:t>建筑室内装饰装修施工过程中的用能是建筑室内全寿命期能</w:t>
      </w:r>
      <w:r>
        <w:rPr>
          <w:rFonts w:eastAsia="华文仿宋"/>
          <w:color w:val="000000"/>
          <w:szCs w:val="21"/>
        </w:rPr>
        <w:br/>
      </w:r>
      <w:r>
        <w:rPr>
          <w:rFonts w:eastAsia="华文仿宋"/>
          <w:color w:val="000000"/>
          <w:szCs w:val="21"/>
        </w:rPr>
        <w:t>耗的组成部分。由于建筑室内装饰装修施工T艺、技术人员施工</w:t>
      </w:r>
      <w:r>
        <w:rPr>
          <w:rFonts w:eastAsia="华文仿宋"/>
          <w:color w:val="000000"/>
          <w:szCs w:val="21"/>
        </w:rPr>
        <w:br/>
      </w:r>
      <w:r>
        <w:rPr>
          <w:rFonts w:eastAsia="华文仿宋"/>
          <w:color w:val="000000"/>
          <w:szCs w:val="21"/>
        </w:rPr>
        <w:t>水平、所在地区等的不同，建成每平方米建筑室内的用能有显著的差异。施工中应制定节能和用能方案，提出建成每平方米建筑室内能耗目标值，预算各施工阶段用电负荷，合理配置临时用电设备，尽量避免多台大型设备同时使用。合理安排工序，提高各种机械的使用率和满载率，降低各种设备的单位耗能。</w:t>
      </w:r>
    </w:p>
    <w:p>
      <w:pPr>
        <w:widowControl/>
        <w:spacing w:line="360" w:lineRule="exact"/>
        <w:ind w:firstLine="420" w:firstLineChars="200"/>
        <w:rPr>
          <w:rFonts w:eastAsia="华文仿宋"/>
          <w:color w:val="000000"/>
          <w:szCs w:val="21"/>
        </w:rPr>
      </w:pPr>
      <w:r>
        <w:rPr>
          <w:rFonts w:eastAsia="华文仿宋"/>
          <w:color w:val="000000"/>
          <w:szCs w:val="21"/>
        </w:rPr>
        <w:t xml:space="preserve">本条的评价方法为:评价查阅施工节能和用能方案用能监测记录、统计计算的建成每平方米建筑室内能耗值、有关证明材料。 </w:t>
      </w:r>
    </w:p>
    <w:p>
      <w:pPr>
        <w:widowControl/>
        <w:spacing w:line="360" w:lineRule="exact"/>
        <w:rPr>
          <w:bCs/>
          <w:color w:val="000000"/>
          <w:szCs w:val="21"/>
        </w:rPr>
      </w:pPr>
      <w:r>
        <w:rPr>
          <w:rFonts w:hint="eastAsia"/>
          <w:b/>
          <w:bCs/>
          <w:color w:val="000000"/>
          <w:szCs w:val="21"/>
        </w:rPr>
        <w:t xml:space="preserve">6.2.16  </w:t>
      </w:r>
      <w:r>
        <w:rPr>
          <w:rFonts w:hint="eastAsia"/>
          <w:bCs/>
          <w:color w:val="000000"/>
          <w:szCs w:val="21"/>
        </w:rPr>
        <w:t>制定并实施施工节水和用水方案，监测并记录施工水耗，评价总分值为</w:t>
      </w:r>
      <w:r>
        <w:rPr>
          <w:bCs/>
          <w:color w:val="000000"/>
          <w:szCs w:val="21"/>
        </w:rPr>
        <w:t>6</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制定并实施施工节水和用水方案，得</w:t>
      </w:r>
      <w:r>
        <w:rPr>
          <w:bCs/>
          <w:color w:val="000000"/>
          <w:szCs w:val="21"/>
        </w:rPr>
        <w:t>2</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监测并记录施工区、生活区的水耗数据，得</w:t>
      </w:r>
      <w:r>
        <w:rPr>
          <w:bCs/>
          <w:color w:val="000000"/>
          <w:szCs w:val="21"/>
        </w:rPr>
        <w:t>4</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exact"/>
        <w:rPr>
          <w:rFonts w:eastAsia="华文仿宋"/>
          <w:bCs/>
          <w:color w:val="000000"/>
          <w:szCs w:val="21"/>
        </w:rPr>
      </w:pPr>
      <w:r>
        <w:rPr>
          <w:rFonts w:hint="eastAsia"/>
          <w:b/>
          <w:bCs/>
          <w:color w:val="000000"/>
          <w:szCs w:val="21"/>
        </w:rPr>
        <w:t xml:space="preserve">6.2.16  </w:t>
      </w:r>
      <w:r>
        <w:rPr>
          <w:rFonts w:hint="eastAsia" w:eastAsia="华文仿宋"/>
          <w:bCs/>
          <w:color w:val="000000"/>
          <w:szCs w:val="21"/>
        </w:rPr>
        <w:t>本条适用于各类民用建筑室内全装修的评价。</w:t>
      </w:r>
    </w:p>
    <w:p>
      <w:pPr>
        <w:widowControl/>
        <w:spacing w:line="360" w:lineRule="exact"/>
        <w:ind w:firstLine="420" w:firstLineChars="200"/>
        <w:rPr>
          <w:rFonts w:eastAsia="华文仿宋"/>
          <w:bCs/>
          <w:color w:val="000000"/>
          <w:szCs w:val="21"/>
        </w:rPr>
      </w:pPr>
      <w:r>
        <w:rPr>
          <w:rFonts w:eastAsia="华文仿宋"/>
          <w:bCs/>
          <w:color w:val="000000"/>
          <w:szCs w:val="21"/>
        </w:rPr>
        <w:t>建筑室内装饰装修施工过程中的用水，是建筑室内全寿命期水耗的组成部分。由于建筑室内装饰装修施工工艺、技术人员施工水平、所在地区等的不同，建成每平方米建筑室内的用水量有显著的差异。施工中应制定节水和用水方案，提出建成每平方米建筑室内施工水耗目标值。为此应做好水耗监测、记录，用于指导施工过程中的节水。竣工时提供施工过程水耗记录和建成每平方米建筑室内实际水耗值，为施工过程的水耗统计提供基础数据。对于洗刷、降尘、湿法施工、设备冷却等用水来源，应尽量采用非传统水源，具体包括工程项目中使用的中水、工程使用后收集的沉淀水以及雨水等。</w:t>
      </w:r>
    </w:p>
    <w:p>
      <w:pPr>
        <w:widowControl/>
        <w:spacing w:line="360" w:lineRule="exact"/>
        <w:ind w:firstLine="420" w:firstLineChars="200"/>
        <w:rPr>
          <w:rFonts w:eastAsia="华文仿宋"/>
          <w:bCs/>
          <w:color w:val="000000"/>
          <w:szCs w:val="21"/>
        </w:rPr>
      </w:pPr>
      <w:r>
        <w:rPr>
          <w:rFonts w:eastAsia="华文仿宋"/>
          <w:bCs/>
          <w:color w:val="000000"/>
          <w:szCs w:val="21"/>
        </w:rPr>
        <w:t>本条的评价方法为</w:t>
      </w:r>
      <w:r>
        <w:rPr>
          <w:rFonts w:hint="eastAsia" w:eastAsia="华文仿宋"/>
          <w:bCs/>
          <w:color w:val="000000"/>
          <w:szCs w:val="21"/>
        </w:rPr>
        <w:t>：</w:t>
      </w:r>
      <w:r>
        <w:rPr>
          <w:rFonts w:eastAsia="华文仿宋"/>
          <w:bCs/>
          <w:color w:val="000000"/>
          <w:szCs w:val="21"/>
        </w:rPr>
        <w:t>评价查阅施工节水和用水方案、用水监测记录、建成每平方米建筑室内水耗值、有监理证明的非传统水源使用记录以及项目配置的施工现场非传统水源使用设施、使用照片、影像等证明材料</w:t>
      </w:r>
      <w:r>
        <w:rPr>
          <w:rFonts w:hint="eastAsia" w:eastAsia="华文仿宋"/>
          <w:bCs/>
          <w:color w:val="000000"/>
          <w:szCs w:val="21"/>
        </w:rPr>
        <w:t>。</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Ⅲ  施工</w:t>
      </w:r>
      <w:r>
        <w:rPr>
          <w:rFonts w:cs="宋体"/>
          <w:color w:val="000000"/>
          <w:sz w:val="21"/>
          <w:szCs w:val="21"/>
        </w:rPr>
        <w:t>管理</w:t>
      </w:r>
    </w:p>
    <w:p>
      <w:pPr>
        <w:widowControl/>
        <w:spacing w:line="360" w:lineRule="exact"/>
        <w:rPr>
          <w:bCs/>
          <w:color w:val="000000"/>
          <w:szCs w:val="21"/>
        </w:rPr>
      </w:pPr>
      <w:r>
        <w:rPr>
          <w:rFonts w:hint="eastAsia"/>
          <w:b/>
          <w:bCs/>
          <w:color w:val="000000"/>
          <w:szCs w:val="21"/>
        </w:rPr>
        <w:t xml:space="preserve">6.2.17  </w:t>
      </w:r>
      <w:r>
        <w:rPr>
          <w:rFonts w:hint="eastAsia"/>
          <w:bCs/>
          <w:color w:val="000000"/>
          <w:szCs w:val="21"/>
        </w:rPr>
        <w:t>制定和实施室内绿色装饰装修施工前的准备工作，评价总分值为8分，并按下列规则分别评分并累计：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进行室内绿色装饰装修设计内容和要求专项交底会审，完成设计图纸和技术文件审批会签工作，得2分；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编制和优化绿色装饰装修施工工序、工艺、工法、材料和机具的专项施工组织计划和实施方案，得3分；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 xml:space="preserve">  对施工人员进行绿色施工教育职业培训，张贴绿色施工、环境保护、安全防毒标牌标识，增加绿色施工意识，将绿色施工目标、任务和奖罚制度落实分配到施工各阶段、各环节和各班组岗位人员，得3分。 </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widowControl/>
        <w:spacing w:line="360" w:lineRule="exact"/>
        <w:rPr>
          <w:rFonts w:eastAsia="华文仿宋"/>
          <w:bCs/>
          <w:color w:val="000000"/>
          <w:szCs w:val="21"/>
        </w:rPr>
      </w:pPr>
      <w:r>
        <w:rPr>
          <w:rFonts w:hint="eastAsia"/>
          <w:b/>
          <w:bCs/>
          <w:color w:val="000000"/>
          <w:szCs w:val="21"/>
        </w:rPr>
        <w:t xml:space="preserve">6.2.17  </w:t>
      </w:r>
      <w:r>
        <w:rPr>
          <w:rFonts w:hint="eastAsia" w:eastAsia="华文仿宋"/>
          <w:bCs/>
          <w:color w:val="000000"/>
          <w:szCs w:val="21"/>
        </w:rPr>
        <w:t>本条适用于各类民用建筑室内全装修的评价。</w:t>
      </w:r>
    </w:p>
    <w:p>
      <w:pPr>
        <w:widowControl/>
        <w:spacing w:line="360" w:lineRule="exact"/>
        <w:ind w:firstLine="420" w:firstLineChars="200"/>
        <w:rPr>
          <w:rFonts w:eastAsia="华文仿宋"/>
          <w:bCs/>
          <w:color w:val="000000"/>
          <w:szCs w:val="21"/>
        </w:rPr>
      </w:pPr>
      <w:r>
        <w:rPr>
          <w:rFonts w:eastAsia="华文仿宋"/>
          <w:bCs/>
          <w:color w:val="000000"/>
          <w:szCs w:val="21"/>
        </w:rPr>
        <w:t>施工是把室内绿色装饰装修由设计转化为实体的重要过程，为此施工单位应进行专项交底，落实室内绿色装饰装修的重点，并针对重点内容编制专项施工组织计划和实施方案，同时提高施工人员绿色环保意识，通过管理手段落实室内绿色装饰装修。</w:t>
      </w:r>
    </w:p>
    <w:p>
      <w:pPr>
        <w:widowControl/>
        <w:spacing w:line="360" w:lineRule="exact"/>
        <w:ind w:firstLine="420" w:firstLineChars="200"/>
        <w:rPr>
          <w:bCs/>
          <w:color w:val="000000"/>
          <w:szCs w:val="21"/>
        </w:rPr>
      </w:pPr>
      <w:r>
        <w:rPr>
          <w:rFonts w:eastAsia="华文仿宋"/>
          <w:bCs/>
          <w:color w:val="000000"/>
          <w:szCs w:val="21"/>
        </w:rPr>
        <w:t>本条的评价方法为</w:t>
      </w:r>
      <w:r>
        <w:rPr>
          <w:rFonts w:hint="eastAsia" w:eastAsia="华文仿宋"/>
          <w:bCs/>
          <w:color w:val="000000"/>
          <w:szCs w:val="21"/>
        </w:rPr>
        <w:t>：</w:t>
      </w:r>
      <w:r>
        <w:rPr>
          <w:rFonts w:eastAsia="华文仿宋"/>
          <w:bCs/>
          <w:color w:val="000000"/>
          <w:szCs w:val="21"/>
        </w:rPr>
        <w:t>评价查阅该项目交底文件、审批会签文件、专项施工组织计划和实施方案、装饰材料和产品的有害物质污染散发特性检测报告、设施和机具的能耗环保性能检测报告、施工现场绿色施工教育职业培训相关资料及图片影像资料</w:t>
      </w:r>
      <w:r>
        <w:rPr>
          <w:rFonts w:hint="eastAsia" w:eastAsia="华文仿宋"/>
          <w:bCs/>
          <w:color w:val="000000"/>
          <w:szCs w:val="21"/>
        </w:rPr>
        <w:t>。</w:t>
      </w:r>
    </w:p>
    <w:p>
      <w:pPr>
        <w:widowControl/>
        <w:spacing w:line="360" w:lineRule="exact"/>
        <w:rPr>
          <w:bCs/>
          <w:color w:val="000000"/>
          <w:szCs w:val="21"/>
        </w:rPr>
      </w:pPr>
      <w:r>
        <w:rPr>
          <w:rFonts w:hint="eastAsia"/>
          <w:b/>
          <w:bCs/>
          <w:color w:val="000000"/>
          <w:szCs w:val="21"/>
        </w:rPr>
        <w:t xml:space="preserve">6.2.18  </w:t>
      </w:r>
      <w:r>
        <w:rPr>
          <w:rFonts w:hint="eastAsia"/>
          <w:bCs/>
          <w:color w:val="000000"/>
          <w:szCs w:val="21"/>
        </w:rPr>
        <w:t>制定和实施室内装饰装修绿色施工的管理措施，评价总分值</w:t>
      </w:r>
      <w:r>
        <w:rPr>
          <w:bCs/>
          <w:color w:val="000000"/>
          <w:szCs w:val="21"/>
        </w:rPr>
        <w:t>15</w:t>
      </w:r>
      <w:r>
        <w:rPr>
          <w:rFonts w:hint="eastAsia"/>
          <w:bCs/>
          <w:color w:val="000000"/>
          <w:szCs w:val="21"/>
        </w:rPr>
        <w:t>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严格控制有关绿色装饰内容和要求的设计变更，避免出现和降低绿色环保性能的重大变更，设计变更按照设计变更规范和程序规定完成，得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室内装饰装修绿色施工中使用的材料和产品，需提供和完成下列资料和记录：材料和产品合格证书、说明书、性能检测报告、进口商检报告、进场复检报告和抽查记录、见证检测报告和隐蔽工程验收记录，得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 xml:space="preserve">  严格实施和完成各工序、各分项工程项目自检、互检和交接检工作，采集和保存隐蔽工程资料、见证资料、施工自检评价记录、扬尘噪声检测记录，建立和实施绿色施工工程技术管理资料收集和归档制度，并采集反映绿色施工水平的典型图片或影像资料，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4</w:t>
      </w:r>
      <w:r>
        <w:rPr>
          <w:rFonts w:hint="eastAsia"/>
          <w:bCs/>
          <w:color w:val="000000"/>
          <w:szCs w:val="21"/>
        </w:rPr>
        <w:t xml:space="preserve">  关注室内装饰装修施工人员的生命健康，定期对施工作业人员进行职业健康安全、有毒有害防范培训指导，为现场施工作业人员配置防尘口罩、防护面罩、护目镜及其手套、防噪耳塞、安全鞋帽等防毒、防污、防尘、降噪、防潮、通风的职业病防护设施和工具。参照现行国家标准《职业健康安全管理体系</w:t>
      </w:r>
      <w:r>
        <w:rPr>
          <w:bCs/>
          <w:color w:val="000000"/>
          <w:szCs w:val="21"/>
        </w:rPr>
        <w:t>  </w:t>
      </w:r>
      <w:r>
        <w:rPr>
          <w:rFonts w:hint="eastAsia"/>
          <w:bCs/>
          <w:color w:val="000000"/>
          <w:szCs w:val="21"/>
        </w:rPr>
        <w:t>要求》</w:t>
      </w:r>
      <w:r>
        <w:rPr>
          <w:bCs/>
          <w:color w:val="000000"/>
          <w:szCs w:val="21"/>
        </w:rPr>
        <w:t>GB/T2</w:t>
      </w:r>
      <w:r>
        <w:rPr>
          <w:rFonts w:hint="eastAsia"/>
          <w:bCs/>
          <w:color w:val="000000"/>
          <w:szCs w:val="21"/>
        </w:rPr>
        <w:t>8001要求，建立室内绿色装饰装修施工从业人员职业病防范管理制度，得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5</w:t>
      </w:r>
      <w:r>
        <w:rPr>
          <w:rFonts w:hint="eastAsia"/>
          <w:bCs/>
          <w:color w:val="000000"/>
          <w:szCs w:val="21"/>
        </w:rPr>
        <w:t xml:space="preserve">  对施工工程中的半成品、成品，制定和实施成品保护管理办法和措施，避免和防止碰撞、损坏和污染现象发生，得</w:t>
      </w:r>
      <w:r>
        <w:rPr>
          <w:bCs/>
          <w:color w:val="000000"/>
          <w:szCs w:val="21"/>
        </w:rPr>
        <w:t>3</w:t>
      </w:r>
      <w:r>
        <w:rPr>
          <w:rFonts w:hint="eastAsia"/>
          <w:bCs/>
          <w:color w:val="000000"/>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rFonts w:hint="eastAsia"/>
          <w:b/>
          <w:bCs/>
          <w:color w:val="000000"/>
          <w:szCs w:val="21"/>
        </w:rPr>
        <w:t xml:space="preserve">6.2.18  </w:t>
      </w:r>
      <w:r>
        <w:rPr>
          <w:rFonts w:hint="eastAsia" w:eastAsia="华文仿宋"/>
          <w:bCs/>
          <w:color w:val="000000"/>
          <w:szCs w:val="21"/>
        </w:rPr>
        <w:t>本条适用于各类民用建筑室内全装修的评价。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制定和实施室内装饰装修绿色施工的管理指施是保障绿色施</w:t>
      </w:r>
    </w:p>
    <w:p>
      <w:pPr>
        <w:adjustRightInd w:val="0"/>
        <w:spacing w:line="360" w:lineRule="atLeast"/>
        <w:outlineLvl w:val="2"/>
        <w:rPr>
          <w:rFonts w:eastAsia="华文仿宋"/>
          <w:bCs/>
          <w:color w:val="000000"/>
          <w:szCs w:val="21"/>
        </w:rPr>
      </w:pPr>
      <w:r>
        <w:rPr>
          <w:rFonts w:hint="eastAsia" w:eastAsia="华文仿宋"/>
          <w:bCs/>
          <w:color w:val="000000"/>
          <w:szCs w:val="21"/>
        </w:rPr>
        <w:t>工顺利完成的前提。</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第1款中绿色装饰设计文件经审查后，在建造过程中往往可能需要进行变更，这样有可能使绿色装饰的相关指标发生变化。本条旨在强调在建造过程中严格执行审批后的设计文件，若在施工过程中出于整体装饰功能要求，对绿色装饰设计文件进行变更，但不显著影响该建筑绿色性能，其变更可按照正常的程序进行。设计变更应存留完整的资料档案，作为最终评审时的依据。</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第2款中强调在施工过程和材料采购过程中需严格执行材料</w:t>
      </w:r>
    </w:p>
    <w:p>
      <w:pPr>
        <w:adjustRightInd w:val="0"/>
        <w:spacing w:line="360" w:lineRule="atLeast"/>
        <w:outlineLvl w:val="2"/>
        <w:rPr>
          <w:rFonts w:eastAsia="华文仿宋"/>
          <w:bCs/>
          <w:color w:val="000000"/>
          <w:szCs w:val="21"/>
        </w:rPr>
      </w:pPr>
      <w:r>
        <w:rPr>
          <w:rFonts w:hint="eastAsia" w:eastAsia="华文仿宋"/>
          <w:bCs/>
          <w:color w:val="000000"/>
          <w:szCs w:val="21"/>
        </w:rPr>
        <w:t>采购程序，完成必要的程序与提交合格材料检测报告，杜绝以次充好、货不对板的情况出现，导致竣工验收后室内空气质量达不到标准要求。</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第3、4款均强调施工过程的管理措施，严格按照制定的施工管理程序进行，提交完整的记录文件与各阶段验收文件。加强对施工人员的健康安全保护，项目部应编制“职业健康安全管理计划”，并组织落实，保障施工人员的健康与安全。</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第5款强调制定和实施成品保护管理办法和措施，并符合现行国家标准《住宅装饰装修工程施工规范》GB50327规定要求：</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1  施工过程中材料运输应符合下列规定：</w:t>
      </w:r>
    </w:p>
    <w:p>
      <w:pPr>
        <w:adjustRightInd w:val="0"/>
        <w:spacing w:line="360" w:lineRule="atLeast"/>
        <w:ind w:firstLine="735" w:firstLineChars="350"/>
        <w:outlineLvl w:val="2"/>
        <w:rPr>
          <w:rFonts w:eastAsia="华文仿宋"/>
          <w:bCs/>
          <w:color w:val="000000"/>
          <w:szCs w:val="21"/>
        </w:rPr>
      </w:pPr>
      <w:r>
        <w:rPr>
          <w:rFonts w:hint="eastAsia" w:eastAsia="华文仿宋"/>
          <w:bCs/>
          <w:color w:val="000000"/>
          <w:szCs w:val="21"/>
        </w:rPr>
        <w:t>1)  材料运输使用电梯时，应对电梯采取保护措施；</w:t>
      </w:r>
    </w:p>
    <w:p>
      <w:pPr>
        <w:adjustRightInd w:val="0"/>
        <w:spacing w:line="360" w:lineRule="atLeast"/>
        <w:ind w:left="1155" w:leftChars="350" w:hanging="420" w:hangingChars="200"/>
        <w:outlineLvl w:val="2"/>
        <w:rPr>
          <w:rFonts w:eastAsia="华文仿宋"/>
          <w:bCs/>
          <w:color w:val="000000"/>
          <w:szCs w:val="21"/>
        </w:rPr>
      </w:pPr>
      <w:r>
        <w:rPr>
          <w:rFonts w:hint="eastAsia" w:eastAsia="华文仿宋"/>
          <w:bCs/>
          <w:color w:val="000000"/>
          <w:szCs w:val="21"/>
        </w:rPr>
        <w:t>2)  材料搬运时要避免损坏楼道内顶、墙、扶手、楼道窗户及楼道门。</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2  施工过程中应采取下列成品保护措施:</w:t>
      </w:r>
    </w:p>
    <w:p>
      <w:pPr>
        <w:adjustRightInd w:val="0"/>
        <w:spacing w:line="360" w:lineRule="atLeast"/>
        <w:ind w:left="1155" w:leftChars="350" w:hanging="420" w:hangingChars="200"/>
        <w:outlineLvl w:val="2"/>
        <w:rPr>
          <w:rFonts w:eastAsia="华文仿宋"/>
          <w:bCs/>
          <w:color w:val="000000"/>
          <w:szCs w:val="21"/>
        </w:rPr>
      </w:pPr>
      <w:r>
        <w:rPr>
          <w:rFonts w:hint="eastAsia" w:eastAsia="华文仿宋"/>
          <w:bCs/>
          <w:color w:val="000000"/>
          <w:szCs w:val="21"/>
        </w:rPr>
        <w:t>1)  各工种在施工中不得污染、损坏其他工种的半成品、成品；</w:t>
      </w:r>
    </w:p>
    <w:p>
      <w:pPr>
        <w:adjustRightInd w:val="0"/>
        <w:spacing w:line="360" w:lineRule="atLeast"/>
        <w:ind w:firstLine="735" w:firstLineChars="350"/>
        <w:outlineLvl w:val="2"/>
        <w:rPr>
          <w:rFonts w:eastAsia="华文仿宋"/>
          <w:bCs/>
          <w:color w:val="000000"/>
          <w:szCs w:val="21"/>
        </w:rPr>
      </w:pPr>
      <w:r>
        <w:rPr>
          <w:rFonts w:hint="eastAsia" w:eastAsia="华文仿宋"/>
          <w:bCs/>
          <w:color w:val="000000"/>
          <w:szCs w:val="21"/>
        </w:rPr>
        <w:t>2)  材料表面保护膜应在工程竣工时撤除；</w:t>
      </w:r>
    </w:p>
    <w:p>
      <w:pPr>
        <w:adjustRightInd w:val="0"/>
        <w:spacing w:line="360" w:lineRule="atLeast"/>
        <w:ind w:firstLine="735" w:firstLineChars="350"/>
        <w:outlineLvl w:val="2"/>
        <w:rPr>
          <w:rFonts w:eastAsia="华文仿宋"/>
          <w:bCs/>
          <w:color w:val="000000"/>
          <w:szCs w:val="21"/>
        </w:rPr>
      </w:pPr>
      <w:r>
        <w:rPr>
          <w:rFonts w:hint="eastAsia" w:eastAsia="华文仿宋"/>
          <w:bCs/>
          <w:color w:val="000000"/>
          <w:szCs w:val="21"/>
        </w:rPr>
        <w:t>3)  对邮箱、消防、供电、电视、报警、网络等公共设施应采取保护措施。</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本条的评价方法为：评价第1款查阅各专业设计文件变更记录、洽商记录、会议纪要、施工日志记录；第2款查阅材料</w:t>
      </w:r>
      <w:r>
        <w:rPr>
          <w:rFonts w:eastAsia="华文仿宋"/>
          <w:bCs/>
          <w:color w:val="000000"/>
          <w:szCs w:val="21"/>
        </w:rPr>
        <w:t>和产品合格证书、说明书、性能检测报告、进口商检报告；进场复检报告和抽査记录、见证检测报告和隐蔽工程验收记录；第3款查阅检查记录，监理日志以及隐蔽工程资料、见证资料、施工自检评价记录、扬尘噪声监测记录与管理技术文件等以及相关影像图片资料</w:t>
      </w:r>
      <w:r>
        <w:rPr>
          <w:rFonts w:hint="eastAsia" w:eastAsia="华文仿宋"/>
          <w:bCs/>
          <w:color w:val="000000"/>
          <w:szCs w:val="21"/>
        </w:rPr>
        <w:t>；</w:t>
      </w:r>
      <w:r>
        <w:rPr>
          <w:rFonts w:eastAsia="华文仿宋"/>
          <w:bCs/>
          <w:color w:val="000000"/>
          <w:szCs w:val="21"/>
        </w:rPr>
        <w:t>第4款查阅职业健康安全管理计划、施工单位 OHSAS18000职业健康与安全体系认证文件、现场作业危险源清单及其控制计划、现场作业人员个人防护用品配备及发放台账，必要时核实劳动保护用品或器具进货单</w:t>
      </w:r>
      <w:r>
        <w:rPr>
          <w:rFonts w:hint="eastAsia" w:eastAsia="华文仿宋"/>
          <w:bCs/>
          <w:color w:val="000000"/>
          <w:szCs w:val="21"/>
        </w:rPr>
        <w:t>；</w:t>
      </w:r>
      <w:r>
        <w:rPr>
          <w:rFonts w:eastAsia="华文仿宋"/>
          <w:bCs/>
          <w:color w:val="000000"/>
          <w:szCs w:val="21"/>
        </w:rPr>
        <w:t xml:space="preserve">第5款，成品保护图片、成品保护管理办法和措施文件等资料。 </w:t>
      </w:r>
    </w:p>
    <w:p>
      <w:pPr>
        <w:widowControl/>
        <w:spacing w:line="360" w:lineRule="exact"/>
        <w:rPr>
          <w:bCs/>
          <w:color w:val="000000"/>
          <w:szCs w:val="21"/>
        </w:rPr>
      </w:pPr>
      <w:r>
        <w:rPr>
          <w:rFonts w:hint="eastAsia"/>
          <w:b/>
          <w:bCs/>
          <w:color w:val="000000"/>
          <w:szCs w:val="21"/>
        </w:rPr>
        <w:t xml:space="preserve">6.2.19  </w:t>
      </w:r>
      <w:r>
        <w:rPr>
          <w:rFonts w:hint="eastAsia"/>
          <w:bCs/>
          <w:color w:val="000000"/>
          <w:szCs w:val="21"/>
        </w:rPr>
        <w:t>完成室内装饰装修绿色施工的主要工作内容，保障绿色装饰的技术性能和工程质量，评价总分值10分，并按下列规则分别评分并累计：</w:t>
      </w:r>
    </w:p>
    <w:p>
      <w:pPr>
        <w:widowControl/>
        <w:spacing w:line="360" w:lineRule="exact"/>
        <w:ind w:firstLine="422" w:firstLineChars="200"/>
        <w:rPr>
          <w:bCs/>
          <w:color w:val="000000"/>
          <w:szCs w:val="21"/>
        </w:rPr>
      </w:pPr>
      <w:r>
        <w:rPr>
          <w:b/>
          <w:bCs/>
          <w:color w:val="000000"/>
          <w:szCs w:val="21"/>
        </w:rPr>
        <w:t>1</w:t>
      </w:r>
      <w:r>
        <w:rPr>
          <w:rFonts w:hint="eastAsia"/>
          <w:bCs/>
          <w:color w:val="000000"/>
          <w:szCs w:val="21"/>
        </w:rPr>
        <w:t xml:space="preserve">  室内装饰装修项目工程验收前，实施开荒保洁，清理施工现场，得2分；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对室内集中空调通风系统的换热器、过滤器通风管道与风口，依据现行国家标准《空调通风系统清洗规范》</w:t>
      </w:r>
      <w:r>
        <w:rPr>
          <w:bCs/>
          <w:color w:val="000000"/>
          <w:szCs w:val="21"/>
        </w:rPr>
        <w:t>GB19210</w:t>
      </w:r>
      <w:r>
        <w:rPr>
          <w:rFonts w:hint="eastAsia"/>
          <w:bCs/>
          <w:color w:val="000000"/>
          <w:szCs w:val="21"/>
        </w:rPr>
        <w:t>的规定要求，进行检查、清洁和记录，得</w:t>
      </w:r>
      <w:r>
        <w:rPr>
          <w:bCs/>
          <w:color w:val="000000"/>
          <w:szCs w:val="21"/>
        </w:rPr>
        <w:t>3</w:t>
      </w:r>
      <w:r>
        <w:rPr>
          <w:rFonts w:hint="eastAsia"/>
          <w:bCs/>
          <w:color w:val="000000"/>
          <w:szCs w:val="21"/>
        </w:rPr>
        <w:t>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 xml:space="preserve">  室内管道直饮水系统按国家现行有关标准的规定要求，进行消毒清洗、检查和记录，水质满足现行行业标准《饮用净水水质标准》CJ94的要求，得1分；</w:t>
      </w:r>
    </w:p>
    <w:p>
      <w:pPr>
        <w:widowControl/>
        <w:spacing w:line="360" w:lineRule="exact"/>
        <w:ind w:firstLine="422" w:firstLineChars="200"/>
        <w:rPr>
          <w:bCs/>
          <w:color w:val="000000"/>
          <w:szCs w:val="21"/>
        </w:rPr>
      </w:pPr>
      <w:r>
        <w:rPr>
          <w:rFonts w:hint="eastAsia"/>
          <w:b/>
          <w:bCs/>
          <w:color w:val="000000"/>
          <w:szCs w:val="21"/>
        </w:rPr>
        <w:t>4</w:t>
      </w:r>
      <w:r>
        <w:rPr>
          <w:rFonts w:hint="eastAsia"/>
          <w:bCs/>
          <w:color w:val="000000"/>
          <w:szCs w:val="21"/>
        </w:rPr>
        <w:t xml:space="preserve">  室内供水工程系统，进行管道和器具的清洗、消毒及记录资料完整，得2分。</w:t>
      </w:r>
    </w:p>
    <w:p>
      <w:pPr>
        <w:widowControl/>
        <w:spacing w:line="360" w:lineRule="exact"/>
        <w:ind w:firstLine="422" w:firstLineChars="200"/>
        <w:rPr>
          <w:bCs/>
          <w:color w:val="000000"/>
          <w:szCs w:val="21"/>
        </w:rPr>
      </w:pPr>
      <w:r>
        <w:rPr>
          <w:rFonts w:hint="eastAsia"/>
          <w:b/>
          <w:bCs/>
          <w:color w:val="000000"/>
          <w:szCs w:val="21"/>
        </w:rPr>
        <w:t>5</w:t>
      </w:r>
      <w:r>
        <w:rPr>
          <w:rFonts w:hint="eastAsia"/>
          <w:bCs/>
          <w:color w:val="000000"/>
          <w:szCs w:val="21"/>
        </w:rPr>
        <w:t xml:space="preserve">  室内装饰装修机电系统，进行综合调试和联合试运转，调整和优化机电性能运行系统，满足设计规定要求，得2分。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rFonts w:hint="eastAsia"/>
          <w:b/>
          <w:bCs/>
          <w:color w:val="000000"/>
          <w:szCs w:val="21"/>
        </w:rPr>
        <w:t xml:space="preserve">6.2.19  </w:t>
      </w:r>
      <w:r>
        <w:rPr>
          <w:rFonts w:hint="eastAsia" w:eastAsia="华文仿宋"/>
          <w:bCs/>
          <w:color w:val="000000"/>
          <w:szCs w:val="21"/>
        </w:rPr>
        <w:t>本条适用于各类民用建筑室内全装修的评价。</w:t>
      </w:r>
    </w:p>
    <w:p>
      <w:pPr>
        <w:adjustRightInd w:val="0"/>
        <w:spacing w:line="360" w:lineRule="atLeast"/>
        <w:ind w:firstLine="420" w:firstLineChars="200"/>
        <w:outlineLvl w:val="2"/>
        <w:rPr>
          <w:rFonts w:eastAsia="华文仿宋"/>
          <w:bCs/>
          <w:color w:val="000000"/>
          <w:szCs w:val="21"/>
        </w:rPr>
      </w:pPr>
      <w:r>
        <w:rPr>
          <w:rFonts w:eastAsia="华文仿宋"/>
          <w:bCs/>
          <w:color w:val="000000"/>
          <w:szCs w:val="21"/>
        </w:rPr>
        <w:t>开荒保洁是竣工验收前的最后一道工序，采用无毒、无害、无刺激气味的清洁剂有利于保障后期室内空气检测达到标准要求。施工期间由于保护不善等问题往往造成空调风管、室内供水系统等受到污染，后期使用过程中如果得不到妥善的处理，室内空间污浊的空气与受污染的水均会引发疾病。</w:t>
      </w:r>
    </w:p>
    <w:p>
      <w:pPr>
        <w:adjustRightInd w:val="0"/>
        <w:spacing w:line="360" w:lineRule="atLeast"/>
        <w:ind w:firstLine="420" w:firstLineChars="200"/>
        <w:outlineLvl w:val="2"/>
        <w:rPr>
          <w:rFonts w:eastAsia="华文仿宋"/>
          <w:bCs/>
          <w:color w:val="000000"/>
          <w:szCs w:val="21"/>
        </w:rPr>
      </w:pPr>
      <w:r>
        <w:rPr>
          <w:rFonts w:eastAsia="华文仿宋"/>
          <w:bCs/>
          <w:color w:val="000000"/>
          <w:szCs w:val="21"/>
        </w:rPr>
        <w:t>室内装饰装修机电系统综合调试和联合试运转的目的是让建筑机电系统的设计、安装和运行达到设计目标，保证室内绿色装饰装修的运行效果。主要内容包括制定完整的机电系统综合调试和联合试运转方案，对通风空调系统、空调水系统、给排水系统、热水系统、电气照明系统、弱电系统进行综谷调试以及联合试运转。</w:t>
      </w:r>
    </w:p>
    <w:p>
      <w:pPr>
        <w:adjustRightInd w:val="0"/>
        <w:spacing w:line="360" w:lineRule="atLeast"/>
        <w:ind w:firstLine="420" w:firstLineChars="200"/>
        <w:outlineLvl w:val="2"/>
        <w:rPr>
          <w:rFonts w:eastAsia="华文仿宋"/>
          <w:bCs/>
          <w:color w:val="000000"/>
          <w:szCs w:val="21"/>
        </w:rPr>
      </w:pPr>
      <w:r>
        <w:rPr>
          <w:rFonts w:eastAsia="华文仿宋"/>
          <w:bCs/>
          <w:color w:val="000000"/>
          <w:szCs w:val="21"/>
        </w:rPr>
        <w:t>本条的评价方法为:评价查阅开荒清洁剂采购清单</w:t>
      </w:r>
      <w:r>
        <w:rPr>
          <w:rFonts w:eastAsia="华文仿宋"/>
          <w:bCs/>
          <w:color w:val="000000"/>
          <w:szCs w:val="21"/>
        </w:rPr>
        <w:br/>
      </w:r>
      <w:r>
        <w:rPr>
          <w:rFonts w:eastAsia="华文仿宋"/>
          <w:bCs/>
          <w:color w:val="000000"/>
          <w:szCs w:val="21"/>
        </w:rPr>
        <w:t>与产品说明、空调通风系统的换热器、过滤器通风管道与风口清洁记录表、饮用水水质检测报告、室内供水工程系统，进行管道和器具的清洗、消毒及记录及监理见证文件、设计文件中机电系统的综合调试和联合试运转方案、技术要点、施工日志、调试运转记录。</w:t>
      </w:r>
    </w:p>
    <w:p>
      <w:pPr>
        <w:widowControl/>
        <w:spacing w:line="360" w:lineRule="exact"/>
        <w:rPr>
          <w:bCs/>
          <w:color w:val="000000"/>
          <w:szCs w:val="21"/>
        </w:rPr>
      </w:pPr>
      <w:r>
        <w:rPr>
          <w:rFonts w:hint="eastAsia"/>
          <w:b/>
          <w:bCs/>
          <w:color w:val="000000"/>
          <w:szCs w:val="21"/>
        </w:rPr>
        <w:t>6.2.</w:t>
      </w:r>
      <w:r>
        <w:rPr>
          <w:b/>
          <w:bCs/>
          <w:color w:val="000000"/>
          <w:szCs w:val="21"/>
        </w:rPr>
        <w:t>20</w:t>
      </w:r>
      <w:r>
        <w:rPr>
          <w:rFonts w:hint="eastAsia"/>
          <w:b/>
          <w:bCs/>
          <w:color w:val="000000"/>
          <w:szCs w:val="21"/>
        </w:rPr>
        <w:t xml:space="preserve"> </w:t>
      </w:r>
      <w:r>
        <w:rPr>
          <w:rFonts w:hint="eastAsia"/>
          <w:bCs/>
          <w:color w:val="000000"/>
          <w:szCs w:val="21"/>
        </w:rPr>
        <w:t>完成全装修绿色施工的主要工作内容，保障绿色全装修的基础功能，评价总分值为 10 分，并按下列规则分别评分并累计：</w:t>
      </w:r>
    </w:p>
    <w:p>
      <w:pPr>
        <w:widowControl/>
        <w:spacing w:line="360" w:lineRule="exact"/>
        <w:ind w:firstLine="422" w:firstLineChars="200"/>
        <w:rPr>
          <w:bCs/>
          <w:color w:val="000000"/>
          <w:szCs w:val="21"/>
        </w:rPr>
      </w:pPr>
      <w:r>
        <w:rPr>
          <w:rFonts w:hint="eastAsia"/>
          <w:b/>
          <w:bCs/>
          <w:color w:val="000000"/>
          <w:szCs w:val="21"/>
        </w:rPr>
        <w:t>1</w:t>
      </w:r>
      <w:r>
        <w:rPr>
          <w:rFonts w:hint="eastAsia"/>
          <w:bCs/>
          <w:color w:val="000000"/>
          <w:szCs w:val="21"/>
        </w:rPr>
        <w:t xml:space="preserve"> 对全装修施工工程中的半成品、成品，制定和实施成品保护管理办法和措施，避免和防止碰撞、损坏和污染现象发生，减少过程浪费，得 4 分;</w:t>
      </w:r>
    </w:p>
    <w:p>
      <w:pPr>
        <w:widowControl/>
        <w:spacing w:line="360" w:lineRule="exact"/>
        <w:ind w:firstLine="422" w:firstLineChars="200"/>
        <w:rPr>
          <w:bCs/>
          <w:color w:val="000000"/>
          <w:szCs w:val="21"/>
        </w:rPr>
      </w:pPr>
      <w:r>
        <w:rPr>
          <w:rFonts w:hint="eastAsia"/>
          <w:b/>
          <w:bCs/>
          <w:color w:val="000000"/>
          <w:szCs w:val="21"/>
        </w:rPr>
        <w:t xml:space="preserve">2 </w:t>
      </w:r>
      <w:r>
        <w:rPr>
          <w:rFonts w:hint="eastAsia"/>
          <w:bCs/>
          <w:color w:val="000000"/>
          <w:szCs w:val="21"/>
        </w:rPr>
        <w:t>对室内集中空调通风系统的换热器、过滤器通风管道与风口，依据现行国家标准《空调通风系统清洗规范》GB 19219 的规定要求，进行检查、清洁并有记录，得 4分；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 xml:space="preserve"> 室内管道直饮水系统根据国家现行有关标准的规定并满 足现行行业标准《饮用净水水质标准》CJ 94 的要求，进行消毒清洗、检查并有记录，得 2 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eastAsia="宋体"/>
          <w:b/>
          <w:color w:val="000000"/>
          <w:szCs w:val="21"/>
        </w:rPr>
        <w:t>6.2.</w:t>
      </w:r>
      <w:r>
        <w:rPr>
          <w:rFonts w:hint="eastAsia" w:eastAsia="宋体"/>
          <w:b/>
          <w:color w:val="000000"/>
          <w:szCs w:val="21"/>
        </w:rPr>
        <w:t>2</w:t>
      </w:r>
      <w:r>
        <w:rPr>
          <w:rFonts w:eastAsia="宋体"/>
          <w:b/>
          <w:color w:val="000000"/>
          <w:szCs w:val="21"/>
        </w:rPr>
        <w:t xml:space="preserve">0  </w:t>
      </w:r>
      <w:r>
        <w:rPr>
          <w:rFonts w:hint="eastAsia" w:eastAsia="华文仿宋"/>
          <w:color w:val="000000"/>
          <w:szCs w:val="21"/>
        </w:rPr>
        <w:t>本条适用于各类民用建筑室内全装修的评价。本条</w:t>
      </w:r>
      <w:r>
        <w:rPr>
          <w:rFonts w:eastAsia="华文仿宋"/>
          <w:color w:val="000000"/>
          <w:szCs w:val="21"/>
        </w:rPr>
        <w:t>第三</w:t>
      </w:r>
      <w:r>
        <w:rPr>
          <w:rFonts w:hint="eastAsia" w:eastAsia="华文仿宋"/>
          <w:color w:val="000000"/>
          <w:szCs w:val="21"/>
        </w:rPr>
        <w:t>款</w:t>
      </w:r>
      <w:r>
        <w:rPr>
          <w:rFonts w:eastAsia="华文仿宋"/>
          <w:color w:val="000000"/>
          <w:szCs w:val="21"/>
        </w:rPr>
        <w:t>无室内直饮水系统本款不参评</w:t>
      </w:r>
      <w:r>
        <w:rPr>
          <w:rFonts w:hint="eastAsia" w:eastAsia="华文仿宋"/>
          <w:color w:val="000000"/>
          <w:szCs w:val="21"/>
        </w:rPr>
        <w:t>。</w:t>
      </w:r>
    </w:p>
    <w:p>
      <w:pPr>
        <w:adjustRightInd w:val="0"/>
        <w:spacing w:line="380" w:lineRule="atLeast"/>
        <w:ind w:firstLine="420" w:firstLineChars="200"/>
        <w:outlineLvl w:val="2"/>
        <w:rPr>
          <w:rFonts w:eastAsia="华文仿宋"/>
          <w:color w:val="000000"/>
          <w:szCs w:val="21"/>
        </w:rPr>
      </w:pPr>
      <w:r>
        <w:rPr>
          <w:rFonts w:hint="eastAsia" w:eastAsia="华文仿宋"/>
          <w:color w:val="000000"/>
          <w:szCs w:val="21"/>
        </w:rPr>
        <w:t>本条的评价方法为：现场</w:t>
      </w:r>
      <w:r>
        <w:rPr>
          <w:rFonts w:eastAsia="华文仿宋"/>
          <w:color w:val="000000"/>
          <w:szCs w:val="21"/>
        </w:rPr>
        <w:t>核实</w:t>
      </w:r>
      <w:r>
        <w:rPr>
          <w:rFonts w:hint="eastAsia" w:eastAsia="华文仿宋"/>
          <w:color w:val="000000"/>
          <w:szCs w:val="21"/>
        </w:rPr>
        <w:t>。</w:t>
      </w:r>
    </w:p>
    <w:p>
      <w:pPr>
        <w:pStyle w:val="59"/>
        <w:spacing w:before="100" w:beforeAutospacing="1" w:after="100" w:afterAutospacing="1" w:line="380" w:lineRule="exact"/>
        <w:ind w:firstLine="0" w:firstLineChars="0"/>
        <w:jc w:val="center"/>
        <w:rPr>
          <w:rFonts w:cs="宋体"/>
          <w:color w:val="000000"/>
          <w:sz w:val="21"/>
          <w:szCs w:val="21"/>
        </w:rPr>
      </w:pPr>
      <w:r>
        <w:rPr>
          <w:rFonts w:hint="eastAsia" w:cs="宋体"/>
          <w:color w:val="000000"/>
          <w:sz w:val="21"/>
          <w:szCs w:val="21"/>
        </w:rPr>
        <w:t>Ⅳ  验收与交付</w:t>
      </w:r>
    </w:p>
    <w:p>
      <w:pPr>
        <w:widowControl/>
        <w:spacing w:line="360" w:lineRule="exact"/>
        <w:rPr>
          <w:bCs/>
          <w:color w:val="000000"/>
          <w:szCs w:val="21"/>
        </w:rPr>
      </w:pPr>
      <w:r>
        <w:rPr>
          <w:rFonts w:hint="eastAsia"/>
          <w:b/>
          <w:bCs/>
          <w:color w:val="000000"/>
          <w:szCs w:val="21"/>
        </w:rPr>
        <w:t>6.2.</w:t>
      </w:r>
      <w:r>
        <w:rPr>
          <w:b/>
          <w:bCs/>
          <w:color w:val="000000"/>
          <w:szCs w:val="21"/>
        </w:rPr>
        <w:t>21</w:t>
      </w:r>
      <w:r>
        <w:rPr>
          <w:rFonts w:hint="eastAsia"/>
          <w:b/>
          <w:bCs/>
          <w:color w:val="000000"/>
          <w:szCs w:val="21"/>
        </w:rPr>
        <w:t xml:space="preserve">  </w:t>
      </w:r>
      <w:r>
        <w:rPr>
          <w:rFonts w:hint="eastAsia"/>
          <w:bCs/>
          <w:color w:val="000000"/>
          <w:szCs w:val="21"/>
        </w:rPr>
        <w:t>针对验收及交付工作应编制完善的实施方案，方案科学合理、标准明确、程序清晰，过程实施有相关记录，评价总分值为 10 分，按下列规则得分并累计：</w:t>
      </w:r>
    </w:p>
    <w:p>
      <w:pPr>
        <w:widowControl/>
        <w:spacing w:line="360" w:lineRule="exact"/>
        <w:ind w:firstLine="422" w:firstLineChars="200"/>
        <w:rPr>
          <w:bCs/>
          <w:color w:val="000000"/>
          <w:szCs w:val="21"/>
        </w:rPr>
      </w:pPr>
      <w:r>
        <w:rPr>
          <w:rFonts w:hint="eastAsia"/>
          <w:b/>
          <w:bCs/>
          <w:color w:val="000000"/>
          <w:szCs w:val="21"/>
        </w:rPr>
        <w:t>1</w:t>
      </w:r>
      <w:r>
        <w:rPr>
          <w:rFonts w:hint="eastAsia"/>
          <w:bCs/>
          <w:color w:val="000000"/>
          <w:szCs w:val="21"/>
        </w:rPr>
        <w:t xml:space="preserve"> 有验收及交付专项方案，方案包括标准、组织、责任、 计划、流程、方法等措施，方案完整、合理、有针对性，得 3 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 xml:space="preserve"> 验收、维修、交付过程有计划、有检查、有整改、有验收、有记录，得 3 分；</w:t>
      </w:r>
    </w:p>
    <w:p>
      <w:pPr>
        <w:widowControl/>
        <w:spacing w:line="360" w:lineRule="exact"/>
        <w:ind w:firstLine="422" w:firstLineChars="200"/>
        <w:rPr>
          <w:bCs/>
          <w:color w:val="000000"/>
          <w:szCs w:val="21"/>
        </w:rPr>
      </w:pPr>
      <w:r>
        <w:rPr>
          <w:rFonts w:hint="eastAsia"/>
          <w:b/>
          <w:bCs/>
          <w:color w:val="000000"/>
          <w:szCs w:val="21"/>
        </w:rPr>
        <w:t xml:space="preserve">3 </w:t>
      </w:r>
      <w:r>
        <w:rPr>
          <w:rFonts w:hint="eastAsia"/>
          <w:bCs/>
          <w:color w:val="000000"/>
          <w:szCs w:val="21"/>
        </w:rPr>
        <w:t>项目交付业主后有集中售后维修小组，1 个月内完成所有问题的消项，提高交付满意度，得 4 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b/>
          <w:bCs/>
          <w:color w:val="000000"/>
          <w:szCs w:val="21"/>
        </w:rPr>
        <w:t>6.2.</w:t>
      </w:r>
      <w:r>
        <w:rPr>
          <w:b/>
          <w:bCs/>
          <w:color w:val="000000"/>
          <w:szCs w:val="21"/>
        </w:rPr>
        <w:t>21</w:t>
      </w:r>
      <w:r>
        <w:rPr>
          <w:rFonts w:hint="eastAsia"/>
          <w:b/>
          <w:bCs/>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hint="eastAsia" w:eastAsia="华文仿宋"/>
          <w:color w:val="000000"/>
          <w:szCs w:val="21"/>
        </w:rPr>
        <w:t>本条的评价方法为：评价查阅</w:t>
      </w:r>
      <w:r>
        <w:rPr>
          <w:rFonts w:eastAsia="华文仿宋"/>
          <w:color w:val="000000"/>
          <w:szCs w:val="21"/>
        </w:rPr>
        <w:t>验收相关技术资料</w:t>
      </w:r>
      <w:r>
        <w:rPr>
          <w:rFonts w:hint="eastAsia" w:eastAsia="华文仿宋"/>
          <w:color w:val="000000"/>
          <w:szCs w:val="21"/>
        </w:rPr>
        <w:t>。</w:t>
      </w:r>
    </w:p>
    <w:p>
      <w:pPr>
        <w:widowControl/>
        <w:spacing w:line="360" w:lineRule="exact"/>
        <w:rPr>
          <w:bCs/>
          <w:color w:val="000000"/>
          <w:szCs w:val="21"/>
        </w:rPr>
      </w:pPr>
      <w:r>
        <w:rPr>
          <w:rFonts w:hint="eastAsia"/>
          <w:b/>
          <w:bCs/>
          <w:color w:val="000000"/>
          <w:szCs w:val="21"/>
        </w:rPr>
        <w:t>6.2.</w:t>
      </w:r>
      <w:r>
        <w:rPr>
          <w:b/>
          <w:bCs/>
          <w:color w:val="000000"/>
          <w:szCs w:val="21"/>
        </w:rPr>
        <w:t>22</w:t>
      </w:r>
      <w:r>
        <w:rPr>
          <w:rFonts w:hint="eastAsia"/>
          <w:b/>
          <w:bCs/>
          <w:color w:val="000000"/>
          <w:szCs w:val="21"/>
        </w:rPr>
        <w:t xml:space="preserve">  </w:t>
      </w:r>
      <w:r>
        <w:rPr>
          <w:rFonts w:hint="eastAsia"/>
          <w:bCs/>
          <w:color w:val="000000"/>
          <w:szCs w:val="21"/>
        </w:rPr>
        <w:t>交房时提供建筑使用说明书，评价总分值为10 分，按下列规则评分并累计：</w:t>
      </w:r>
    </w:p>
    <w:p>
      <w:pPr>
        <w:widowControl/>
        <w:spacing w:line="360" w:lineRule="exact"/>
        <w:ind w:firstLine="422" w:firstLineChars="200"/>
        <w:rPr>
          <w:bCs/>
          <w:color w:val="000000"/>
          <w:szCs w:val="21"/>
        </w:rPr>
      </w:pPr>
      <w:r>
        <w:rPr>
          <w:rFonts w:hint="eastAsia"/>
          <w:b/>
          <w:bCs/>
          <w:color w:val="000000"/>
          <w:szCs w:val="21"/>
        </w:rPr>
        <w:t>1</w:t>
      </w:r>
      <w:r>
        <w:rPr>
          <w:rFonts w:hint="eastAsia"/>
          <w:bCs/>
          <w:color w:val="000000"/>
          <w:szCs w:val="21"/>
        </w:rPr>
        <w:t>提供主要材料的产品信息、维修、厂家信息，得 2 分；</w:t>
      </w:r>
    </w:p>
    <w:p>
      <w:pPr>
        <w:widowControl/>
        <w:spacing w:line="360" w:lineRule="exact"/>
        <w:ind w:firstLine="422" w:firstLineChars="200"/>
        <w:rPr>
          <w:bCs/>
          <w:color w:val="000000"/>
          <w:szCs w:val="21"/>
        </w:rPr>
      </w:pPr>
      <w:r>
        <w:rPr>
          <w:rFonts w:hint="eastAsia"/>
          <w:b/>
          <w:bCs/>
          <w:color w:val="000000"/>
          <w:szCs w:val="21"/>
        </w:rPr>
        <w:t>2</w:t>
      </w:r>
      <w:r>
        <w:rPr>
          <w:rFonts w:hint="eastAsia"/>
          <w:bCs/>
          <w:color w:val="000000"/>
          <w:szCs w:val="21"/>
        </w:rPr>
        <w:t>提供给排水走线说明图 ，得 3 分；</w:t>
      </w:r>
    </w:p>
    <w:p>
      <w:pPr>
        <w:widowControl/>
        <w:spacing w:line="360" w:lineRule="exact"/>
        <w:ind w:firstLine="422" w:firstLineChars="200"/>
        <w:rPr>
          <w:bCs/>
          <w:color w:val="000000"/>
          <w:szCs w:val="21"/>
        </w:rPr>
      </w:pPr>
      <w:r>
        <w:rPr>
          <w:rFonts w:hint="eastAsia"/>
          <w:b/>
          <w:bCs/>
          <w:color w:val="000000"/>
          <w:szCs w:val="21"/>
        </w:rPr>
        <w:t>3</w:t>
      </w:r>
      <w:r>
        <w:rPr>
          <w:rFonts w:hint="eastAsia"/>
          <w:bCs/>
          <w:color w:val="000000"/>
          <w:szCs w:val="21"/>
        </w:rPr>
        <w:t>提供电气走线说明图，得 3 分；</w:t>
      </w:r>
    </w:p>
    <w:p>
      <w:pPr>
        <w:widowControl/>
        <w:spacing w:line="360" w:lineRule="exact"/>
        <w:ind w:firstLine="422" w:firstLineChars="200"/>
        <w:rPr>
          <w:bCs/>
          <w:color w:val="000000"/>
          <w:szCs w:val="21"/>
        </w:rPr>
      </w:pPr>
      <w:r>
        <w:rPr>
          <w:rFonts w:hint="eastAsia"/>
          <w:b/>
          <w:bCs/>
          <w:color w:val="000000"/>
          <w:szCs w:val="21"/>
        </w:rPr>
        <w:t>4</w:t>
      </w:r>
      <w:r>
        <w:rPr>
          <w:rFonts w:hint="eastAsia"/>
          <w:bCs/>
          <w:color w:val="000000"/>
          <w:szCs w:val="21"/>
        </w:rPr>
        <w:t>提供所用部品的说明书，得 2 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80" w:lineRule="atLeast"/>
        <w:outlineLvl w:val="2"/>
        <w:rPr>
          <w:rFonts w:eastAsia="华文仿宋"/>
          <w:color w:val="000000"/>
          <w:szCs w:val="21"/>
        </w:rPr>
      </w:pPr>
      <w:r>
        <w:rPr>
          <w:rFonts w:hint="eastAsia"/>
          <w:b/>
          <w:bCs/>
          <w:color w:val="000000"/>
          <w:szCs w:val="21"/>
        </w:rPr>
        <w:t>6.2.</w:t>
      </w:r>
      <w:r>
        <w:rPr>
          <w:b/>
          <w:bCs/>
          <w:color w:val="000000"/>
          <w:szCs w:val="21"/>
        </w:rPr>
        <w:t>22</w:t>
      </w:r>
      <w:r>
        <w:rPr>
          <w:rFonts w:hint="eastAsia"/>
          <w:b/>
          <w:bCs/>
          <w:color w:val="000000"/>
          <w:szCs w:val="21"/>
        </w:rPr>
        <w:t xml:space="preserve">  </w:t>
      </w:r>
      <w:r>
        <w:rPr>
          <w:rFonts w:hint="eastAsia" w:eastAsia="华文仿宋"/>
          <w:color w:val="000000"/>
          <w:szCs w:val="21"/>
        </w:rPr>
        <w:t>本条适用于各类民用建筑室内全装修的评价。</w:t>
      </w:r>
    </w:p>
    <w:p>
      <w:pPr>
        <w:adjustRightInd w:val="0"/>
        <w:spacing w:line="380" w:lineRule="atLeast"/>
        <w:ind w:firstLine="420" w:firstLineChars="200"/>
        <w:outlineLvl w:val="2"/>
        <w:rPr>
          <w:rFonts w:eastAsia="华文仿宋"/>
          <w:color w:val="000000"/>
          <w:szCs w:val="21"/>
        </w:rPr>
      </w:pPr>
      <w:r>
        <w:rPr>
          <w:rFonts w:hint="eastAsia" w:eastAsia="华文仿宋"/>
          <w:color w:val="000000"/>
          <w:szCs w:val="21"/>
        </w:rPr>
        <w:t>建筑全装修交付时需提供使用说明书，以便于使用者入住与使用、维修及改造。提供水电走线图便于业主在后期使用或改造时损坏水电管线，造成不必要的麻烦。</w:t>
      </w:r>
    </w:p>
    <w:p>
      <w:pPr>
        <w:adjustRightInd w:val="0"/>
        <w:spacing w:line="380" w:lineRule="atLeast"/>
        <w:ind w:firstLine="420" w:firstLineChars="200"/>
        <w:outlineLvl w:val="2"/>
        <w:rPr>
          <w:rFonts w:eastAsia="方正小标宋简体"/>
          <w:color w:val="000000"/>
          <w:sz w:val="28"/>
          <w:szCs w:val="20"/>
        </w:rPr>
      </w:pPr>
      <w:r>
        <w:rPr>
          <w:rFonts w:hint="eastAsia" w:eastAsia="华文仿宋"/>
          <w:color w:val="000000"/>
          <w:szCs w:val="21"/>
        </w:rPr>
        <w:t>本条的评价方法为：查阅所用产品采购及相应的使用说明书、说明图、水电布线图。</w:t>
      </w:r>
      <w:r>
        <w:rPr>
          <w:rFonts w:eastAsia="方正小标宋简体"/>
          <w:color w:val="000000"/>
          <w:sz w:val="28"/>
          <w:szCs w:val="20"/>
        </w:rPr>
        <w:br w:type="page"/>
      </w:r>
    </w:p>
    <w:p>
      <w:pPr>
        <w:widowControl/>
        <w:jc w:val="center"/>
        <w:rPr>
          <w:rFonts w:eastAsia="方正小标宋简体"/>
          <w:color w:val="000000"/>
          <w:sz w:val="28"/>
          <w:szCs w:val="20"/>
        </w:rPr>
      </w:pPr>
      <w:r>
        <w:rPr>
          <w:rFonts w:eastAsia="方正小标宋简体"/>
          <w:color w:val="000000"/>
          <w:sz w:val="28"/>
          <w:szCs w:val="20"/>
        </w:rPr>
        <w:t xml:space="preserve">7  </w:t>
      </w:r>
      <w:r>
        <w:rPr>
          <w:rFonts w:hint="eastAsia" w:eastAsia="方正小标宋简体"/>
          <w:color w:val="000000"/>
          <w:sz w:val="28"/>
          <w:szCs w:val="20"/>
        </w:rPr>
        <w:t>提高与创新</w:t>
      </w:r>
    </w:p>
    <w:p>
      <w:pPr>
        <w:snapToGrid w:val="0"/>
        <w:spacing w:before="156" w:beforeLines="50" w:after="312" w:afterLines="100" w:line="380" w:lineRule="exact"/>
        <w:jc w:val="center"/>
        <w:outlineLvl w:val="1"/>
        <w:rPr>
          <w:rFonts w:eastAsia="黑体"/>
          <w:color w:val="000000"/>
        </w:rPr>
      </w:pPr>
      <w:r>
        <w:rPr>
          <w:rFonts w:eastAsia="黑体"/>
          <w:b/>
          <w:color w:val="000000"/>
        </w:rPr>
        <w:t>7.1</w:t>
      </w:r>
      <w:r>
        <w:rPr>
          <w:rFonts w:eastAsia="黑体"/>
          <w:color w:val="000000"/>
        </w:rPr>
        <w:t xml:space="preserve">  </w:t>
      </w:r>
      <w:r>
        <w:rPr>
          <w:rFonts w:hint="eastAsia" w:eastAsia="黑体"/>
          <w:color w:val="000000"/>
        </w:rPr>
        <w:t>一般规定</w:t>
      </w:r>
    </w:p>
    <w:p>
      <w:pPr>
        <w:pStyle w:val="59"/>
        <w:spacing w:line="360" w:lineRule="exact"/>
        <w:ind w:firstLine="0" w:firstLineChars="0"/>
        <w:rPr>
          <w:color w:val="000000"/>
          <w:sz w:val="21"/>
          <w:szCs w:val="20"/>
        </w:rPr>
      </w:pPr>
      <w:r>
        <w:rPr>
          <w:b/>
          <w:bCs/>
          <w:color w:val="000000"/>
          <w:sz w:val="21"/>
          <w:szCs w:val="21"/>
        </w:rPr>
        <w:t>7</w:t>
      </w:r>
      <w:r>
        <w:rPr>
          <w:rFonts w:hint="eastAsia"/>
          <w:b/>
          <w:bCs/>
          <w:color w:val="000000"/>
          <w:sz w:val="21"/>
          <w:szCs w:val="21"/>
        </w:rPr>
        <w:t xml:space="preserve">.1.1 </w:t>
      </w:r>
      <w:r>
        <w:rPr>
          <w:rFonts w:hint="eastAsia"/>
          <w:color w:val="000000"/>
          <w:sz w:val="21"/>
          <w:szCs w:val="20"/>
        </w:rPr>
        <w:t xml:space="preserve"> 绿色建筑室内全装修评价时，应按本章规定对提高与</w:t>
      </w:r>
      <w:r>
        <w:rPr>
          <w:color w:val="000000"/>
          <w:sz w:val="21"/>
          <w:szCs w:val="20"/>
        </w:rPr>
        <w:t>创新项进行评价</w:t>
      </w:r>
      <w:r>
        <w:rPr>
          <w:rFonts w:hint="eastAsia"/>
          <w:color w:val="000000"/>
          <w:sz w:val="21"/>
          <w:szCs w:val="20"/>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w:t>
      </w:r>
      <w:r>
        <w:rPr>
          <w:rFonts w:hint="eastAsia"/>
          <w:b/>
          <w:bCs/>
          <w:color w:val="000000"/>
          <w:szCs w:val="21"/>
        </w:rPr>
        <w:t>1</w:t>
      </w:r>
      <w:r>
        <w:rPr>
          <w:b/>
          <w:bCs/>
          <w:color w:val="000000"/>
          <w:szCs w:val="21"/>
        </w:rPr>
        <w:t>.1</w:t>
      </w:r>
      <w:r>
        <w:rPr>
          <w:rFonts w:hint="eastAsia"/>
          <w:b/>
          <w:bCs/>
          <w:color w:val="000000"/>
          <w:szCs w:val="21"/>
        </w:rPr>
        <w:t xml:space="preserve">  </w:t>
      </w:r>
      <w:r>
        <w:rPr>
          <w:rFonts w:hint="eastAsia" w:eastAsia="华文仿宋"/>
          <w:bCs/>
          <w:color w:val="000000"/>
          <w:szCs w:val="21"/>
        </w:rPr>
        <w:t>绿色建筑室内</w:t>
      </w:r>
      <w:r>
        <w:rPr>
          <w:rFonts w:eastAsia="华文仿宋"/>
          <w:bCs/>
          <w:color w:val="000000"/>
          <w:szCs w:val="21"/>
        </w:rPr>
        <w:t>全装修项目</w:t>
      </w:r>
      <w:r>
        <w:rPr>
          <w:rFonts w:hint="eastAsia" w:eastAsia="华文仿宋"/>
          <w:bCs/>
          <w:color w:val="000000"/>
          <w:szCs w:val="21"/>
        </w:rPr>
        <w:t>全寿命期内各环节和阶段，都有可能在技术、产品选用和管理方式上进行性能提高和创新。为鼓励性能提高和创新，在各环节和阶段采用先进、适用、经济的技术、产品和管理方式，本次修订增设了相应的评价项目。比照“控制项”和“评分项”，本标准中将此类评价项目称为“加分项”。</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本次修订增设的加分项内容，有的在属性分类上属于性能提高，如进一步降低室内空气</w:t>
      </w:r>
      <w:r>
        <w:rPr>
          <w:rFonts w:eastAsia="华文仿宋"/>
          <w:bCs/>
          <w:color w:val="000000"/>
          <w:szCs w:val="21"/>
        </w:rPr>
        <w:t>污染物浓度</w:t>
      </w:r>
      <w:r>
        <w:rPr>
          <w:rFonts w:hint="eastAsia" w:eastAsia="华文仿宋"/>
          <w:bCs/>
          <w:color w:val="000000"/>
          <w:szCs w:val="21"/>
        </w:rPr>
        <w:t>；有的在属性分类上属于创新，如建筑信息模型（BIM）、碳排放分析计算等，鼓励在技术、管理、生产方式等方面的创新。</w:t>
      </w:r>
    </w:p>
    <w:p>
      <w:pPr>
        <w:pStyle w:val="59"/>
        <w:spacing w:line="360" w:lineRule="exact"/>
        <w:ind w:firstLine="0" w:firstLineChars="0"/>
        <w:rPr>
          <w:color w:val="000000"/>
          <w:sz w:val="21"/>
          <w:szCs w:val="21"/>
        </w:rPr>
      </w:pPr>
      <w:r>
        <w:rPr>
          <w:rStyle w:val="52"/>
          <w:rFonts w:eastAsia="仿宋"/>
          <w:b/>
          <w:color w:val="000000"/>
          <w:sz w:val="21"/>
          <w:szCs w:val="21"/>
          <w:u w:val="none"/>
        </w:rPr>
        <w:t>7</w:t>
      </w:r>
      <w:r>
        <w:rPr>
          <w:rStyle w:val="52"/>
          <w:rFonts w:hint="eastAsia" w:eastAsia="仿宋"/>
          <w:b/>
          <w:color w:val="000000"/>
          <w:sz w:val="21"/>
          <w:szCs w:val="21"/>
          <w:u w:val="none"/>
        </w:rPr>
        <w:t xml:space="preserve">.1.2  </w:t>
      </w:r>
      <w:r>
        <w:rPr>
          <w:rFonts w:hint="eastAsia"/>
          <w:color w:val="000000"/>
          <w:sz w:val="21"/>
          <w:szCs w:val="21"/>
        </w:rPr>
        <w:t>提高与创新项得分为加分项得分之和，当得分大于100分时，应取为100分。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w:t>
      </w:r>
      <w:r>
        <w:rPr>
          <w:rFonts w:hint="eastAsia"/>
          <w:b/>
          <w:bCs/>
          <w:color w:val="000000"/>
          <w:szCs w:val="21"/>
        </w:rPr>
        <w:t xml:space="preserve">1.2  </w:t>
      </w:r>
      <w:r>
        <w:rPr>
          <w:rFonts w:hint="eastAsia" w:eastAsia="华文仿宋"/>
          <w:bCs/>
          <w:color w:val="000000"/>
          <w:szCs w:val="21"/>
        </w:rPr>
        <w:t>加分项的评定结果为某得分值或不得分。考虑到与绿色装修总得分要求的平衡，以及加分项对建筑装修绿色性能的贡献，本标准对加分项附加得分作了不大于100分的限制。某些加分项是对前面章节中评分项的提高，符合条件时，加分项和相应评分项均可得分。</w:t>
      </w:r>
    </w:p>
    <w:p>
      <w:pPr>
        <w:snapToGrid w:val="0"/>
        <w:spacing w:before="156" w:beforeLines="50" w:after="312" w:afterLines="100" w:line="380" w:lineRule="exact"/>
        <w:jc w:val="center"/>
        <w:outlineLvl w:val="1"/>
        <w:rPr>
          <w:rFonts w:eastAsia="黑体"/>
          <w:color w:val="000000"/>
        </w:rPr>
      </w:pPr>
      <w:r>
        <w:rPr>
          <w:rFonts w:eastAsia="黑体"/>
          <w:b/>
          <w:color w:val="000000"/>
        </w:rPr>
        <w:t>7.</w:t>
      </w:r>
      <w:r>
        <w:rPr>
          <w:rFonts w:hint="eastAsia" w:eastAsia="黑体"/>
          <w:b/>
          <w:color w:val="000000"/>
        </w:rPr>
        <w:t>2</w:t>
      </w:r>
      <w:r>
        <w:rPr>
          <w:rFonts w:eastAsia="黑体"/>
          <w:color w:val="000000"/>
        </w:rPr>
        <w:t xml:space="preserve">  </w:t>
      </w:r>
      <w:r>
        <w:rPr>
          <w:rFonts w:hint="eastAsia" w:eastAsia="黑体"/>
          <w:color w:val="000000"/>
        </w:rPr>
        <w:t>加分项</w:t>
      </w:r>
    </w:p>
    <w:p>
      <w:pPr>
        <w:pStyle w:val="59"/>
        <w:spacing w:line="360" w:lineRule="exact"/>
        <w:ind w:firstLine="0" w:firstLineChars="0"/>
        <w:rPr>
          <w:color w:val="000000"/>
          <w:sz w:val="21"/>
          <w:szCs w:val="20"/>
        </w:rPr>
      </w:pPr>
      <w:r>
        <w:rPr>
          <w:b/>
          <w:color w:val="000000"/>
          <w:sz w:val="21"/>
          <w:szCs w:val="20"/>
        </w:rPr>
        <w:t>7</w:t>
      </w:r>
      <w:r>
        <w:rPr>
          <w:rFonts w:hint="eastAsia"/>
          <w:b/>
          <w:color w:val="000000"/>
          <w:sz w:val="21"/>
          <w:szCs w:val="20"/>
        </w:rPr>
        <w:t>.2.</w:t>
      </w:r>
      <w:r>
        <w:rPr>
          <w:b/>
          <w:color w:val="000000"/>
          <w:sz w:val="21"/>
          <w:szCs w:val="20"/>
        </w:rPr>
        <w:t>1</w:t>
      </w:r>
      <w:r>
        <w:rPr>
          <w:rFonts w:hint="eastAsia"/>
          <w:color w:val="000000"/>
          <w:sz w:val="21"/>
          <w:szCs w:val="20"/>
        </w:rPr>
        <w:t xml:space="preserve">  供暖空调系统能效不低于国家能效标准规定的一级要求，得10分</w:t>
      </w:r>
      <w:r>
        <w:rPr>
          <w:color w:val="000000"/>
          <w:sz w:val="21"/>
          <w:szCs w:val="20"/>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7.2.1</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w:t>
      </w:r>
      <w:r>
        <w:rPr>
          <w:rFonts w:eastAsia="华文仿宋"/>
          <w:bCs/>
          <w:color w:val="000000"/>
          <w:szCs w:val="21"/>
        </w:rPr>
        <w:t>查阅相关设计文件；</w:t>
      </w:r>
      <w:r>
        <w:rPr>
          <w:rFonts w:hint="eastAsia" w:eastAsia="华文仿宋"/>
          <w:bCs/>
          <w:color w:val="000000"/>
          <w:szCs w:val="21"/>
        </w:rPr>
        <w:t>评价查阅相关竣工图、主要产品型式检验报告，并现场核实。</w:t>
      </w:r>
    </w:p>
    <w:p>
      <w:pPr>
        <w:pStyle w:val="59"/>
        <w:spacing w:line="360" w:lineRule="exact"/>
        <w:ind w:firstLine="0" w:firstLineChars="0"/>
        <w:rPr>
          <w:color w:val="000000"/>
          <w:sz w:val="21"/>
          <w:szCs w:val="20"/>
        </w:rPr>
      </w:pPr>
      <w:r>
        <w:rPr>
          <w:rStyle w:val="52"/>
          <w:rFonts w:eastAsia="仿宋"/>
          <w:b/>
          <w:color w:val="000000"/>
          <w:sz w:val="21"/>
          <w:szCs w:val="21"/>
          <w:u w:val="none"/>
        </w:rPr>
        <w:t>7</w:t>
      </w:r>
      <w:r>
        <w:rPr>
          <w:rStyle w:val="52"/>
          <w:rFonts w:hint="eastAsia" w:eastAsia="仿宋"/>
          <w:b/>
          <w:color w:val="000000"/>
          <w:sz w:val="21"/>
          <w:szCs w:val="21"/>
          <w:u w:val="none"/>
        </w:rPr>
        <w:t>.2.</w:t>
      </w:r>
      <w:r>
        <w:rPr>
          <w:rStyle w:val="52"/>
          <w:rFonts w:eastAsia="仿宋"/>
          <w:b/>
          <w:color w:val="000000"/>
          <w:sz w:val="21"/>
          <w:szCs w:val="21"/>
          <w:u w:val="none"/>
        </w:rPr>
        <w:t>2</w:t>
      </w:r>
      <w:r>
        <w:rPr>
          <w:rStyle w:val="52"/>
          <w:rFonts w:hint="eastAsia" w:eastAsia="仿宋"/>
          <w:b/>
          <w:color w:val="000000"/>
          <w:sz w:val="21"/>
          <w:szCs w:val="21"/>
          <w:u w:val="none"/>
        </w:rPr>
        <w:t xml:space="preserve">  </w:t>
      </w:r>
      <w:r>
        <w:rPr>
          <w:rFonts w:hint="eastAsia"/>
          <w:color w:val="000000"/>
          <w:sz w:val="21"/>
          <w:szCs w:val="20"/>
        </w:rPr>
        <w:t>室内卫生器具的用水效率达到国家现行有关卫生器具用水效率等级标准规定的1级，评价分值为</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7.2.2</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鼓励选用更高节水性能的节水器具。目前我国已对部分用水器具的用水效率制定了相关标准，如《水嘴用水效率限定值及用水效率等级》GB25501-2010、《坐便器用水效率限定值及用水效率等级》（GB25502-2010、《小便器用水效率限定值及用水效率等级》GB28377-2012、《淋浴器用水效率限定值及用水效率等级》</w:t>
      </w:r>
    </w:p>
    <w:p>
      <w:pPr>
        <w:adjustRightInd w:val="0"/>
        <w:spacing w:line="360" w:lineRule="atLeast"/>
        <w:outlineLvl w:val="2"/>
        <w:rPr>
          <w:rFonts w:eastAsia="华文仿宋"/>
          <w:bCs/>
          <w:color w:val="000000"/>
          <w:szCs w:val="21"/>
        </w:rPr>
      </w:pPr>
      <w:r>
        <w:rPr>
          <w:rFonts w:hint="eastAsia" w:eastAsia="华文仿宋"/>
          <w:bCs/>
          <w:color w:val="000000"/>
          <w:szCs w:val="21"/>
        </w:rPr>
        <w:t>GB28378-2012、《便器冲洗阀用水效率限定值及用水效率等级》</w:t>
      </w:r>
    </w:p>
    <w:p>
      <w:pPr>
        <w:adjustRightInd w:val="0"/>
        <w:spacing w:line="360" w:lineRule="atLeast"/>
        <w:outlineLvl w:val="2"/>
        <w:rPr>
          <w:rFonts w:eastAsia="华文仿宋"/>
          <w:bCs/>
          <w:color w:val="000000"/>
          <w:szCs w:val="21"/>
        </w:rPr>
      </w:pPr>
      <w:r>
        <w:rPr>
          <w:rFonts w:hint="eastAsia" w:eastAsia="华文仿宋"/>
          <w:bCs/>
          <w:color w:val="000000"/>
          <w:szCs w:val="21"/>
        </w:rPr>
        <w:t>GB28379-2012，今后还将陆续出台其他用水器具的标准。在竣工文件中要注明对卫生器具的节水要求和相应的参数或标准。</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w:t>
      </w:r>
      <w:r>
        <w:rPr>
          <w:rFonts w:eastAsia="华文仿宋"/>
          <w:bCs/>
          <w:color w:val="000000"/>
          <w:szCs w:val="21"/>
        </w:rPr>
        <w:t>查阅相关设计文件；</w:t>
      </w:r>
      <w:r>
        <w:rPr>
          <w:rFonts w:hint="eastAsia" w:eastAsia="华文仿宋"/>
          <w:bCs/>
          <w:color w:val="000000"/>
          <w:szCs w:val="21"/>
        </w:rPr>
        <w:t>评价查阅相关竣工文件、产品说明书、产品节水性能检测报告，并现场核实。</w:t>
      </w:r>
    </w:p>
    <w:p>
      <w:pPr>
        <w:pStyle w:val="59"/>
        <w:spacing w:line="360" w:lineRule="exact"/>
        <w:ind w:firstLine="0" w:firstLineChars="0"/>
        <w:rPr>
          <w:color w:val="000000"/>
          <w:sz w:val="21"/>
          <w:szCs w:val="20"/>
        </w:rPr>
      </w:pPr>
      <w:r>
        <w:rPr>
          <w:rStyle w:val="52"/>
          <w:rFonts w:eastAsia="仿宋"/>
          <w:b/>
          <w:color w:val="000000"/>
          <w:sz w:val="21"/>
          <w:szCs w:val="21"/>
          <w:u w:val="none"/>
        </w:rPr>
        <w:t>7</w:t>
      </w:r>
      <w:r>
        <w:rPr>
          <w:rStyle w:val="52"/>
          <w:rFonts w:hint="eastAsia" w:eastAsia="仿宋"/>
          <w:b/>
          <w:color w:val="000000"/>
          <w:sz w:val="21"/>
          <w:szCs w:val="21"/>
          <w:u w:val="none"/>
        </w:rPr>
        <w:t xml:space="preserve">.2.3  </w:t>
      </w:r>
      <w:r>
        <w:rPr>
          <w:rFonts w:hint="eastAsia"/>
          <w:color w:val="000000"/>
          <w:sz w:val="21"/>
          <w:szCs w:val="20"/>
        </w:rPr>
        <w:t>净水设备</w:t>
      </w:r>
      <w:r>
        <w:rPr>
          <w:color w:val="000000"/>
          <w:sz w:val="21"/>
          <w:szCs w:val="20"/>
        </w:rPr>
        <w:t>产水率不低于</w:t>
      </w:r>
      <w:r>
        <w:rPr>
          <w:rFonts w:hint="eastAsia"/>
          <w:color w:val="000000"/>
          <w:sz w:val="21"/>
          <w:szCs w:val="20"/>
        </w:rPr>
        <w:t>75</w:t>
      </w:r>
      <w:r>
        <w:rPr>
          <w:color w:val="000000"/>
          <w:sz w:val="21"/>
          <w:szCs w:val="20"/>
        </w:rPr>
        <w:t>%，评价总分值为10</w:t>
      </w:r>
      <w:r>
        <w:rPr>
          <w:rFonts w:hint="eastAsia"/>
          <w:color w:val="000000"/>
          <w:sz w:val="21"/>
          <w:szCs w:val="20"/>
        </w:rPr>
        <w:t>分</w:t>
      </w:r>
      <w:r>
        <w:rPr>
          <w:color w:val="000000"/>
          <w:sz w:val="21"/>
          <w:szCs w:val="20"/>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7.2.3</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w:t>
      </w:r>
      <w:r>
        <w:rPr>
          <w:rFonts w:eastAsia="华文仿宋"/>
          <w:bCs/>
          <w:color w:val="000000"/>
          <w:szCs w:val="21"/>
        </w:rPr>
        <w:t>查阅相关设计文件；</w:t>
      </w:r>
      <w:r>
        <w:rPr>
          <w:rFonts w:hint="eastAsia" w:eastAsia="华文仿宋"/>
          <w:bCs/>
          <w:color w:val="000000"/>
          <w:szCs w:val="21"/>
        </w:rPr>
        <w:t>评价查阅相关竣工文件、产品说明书、设备性能检测报告，并现场核实。</w:t>
      </w:r>
    </w:p>
    <w:p>
      <w:pPr>
        <w:pStyle w:val="59"/>
        <w:spacing w:line="360" w:lineRule="exact"/>
        <w:ind w:firstLine="0" w:firstLineChars="0"/>
        <w:rPr>
          <w:color w:val="000000"/>
          <w:sz w:val="21"/>
          <w:szCs w:val="20"/>
        </w:rPr>
      </w:pPr>
      <w:r>
        <w:rPr>
          <w:rStyle w:val="52"/>
          <w:rFonts w:eastAsia="仿宋"/>
          <w:b/>
          <w:color w:val="000000"/>
          <w:sz w:val="21"/>
          <w:szCs w:val="21"/>
          <w:u w:val="none"/>
        </w:rPr>
        <w:t>7.2.4</w:t>
      </w:r>
      <w:r>
        <w:rPr>
          <w:rStyle w:val="52"/>
          <w:rFonts w:hint="eastAsia" w:eastAsia="仿宋"/>
          <w:b/>
          <w:color w:val="000000"/>
          <w:szCs w:val="21"/>
          <w:u w:val="none"/>
        </w:rPr>
        <w:t xml:space="preserve"> </w:t>
      </w:r>
      <w:r>
        <w:rPr>
          <w:rFonts w:hint="eastAsia"/>
          <w:color w:val="000000"/>
          <w:sz w:val="21"/>
          <w:szCs w:val="20"/>
        </w:rPr>
        <w:t>采用装配式</w:t>
      </w:r>
      <w:r>
        <w:rPr>
          <w:color w:val="000000"/>
          <w:sz w:val="21"/>
          <w:szCs w:val="20"/>
        </w:rPr>
        <w:t>装修，评价总分值为</w:t>
      </w:r>
      <w:r>
        <w:rPr>
          <w:rFonts w:hint="eastAsia"/>
          <w:color w:val="000000"/>
          <w:sz w:val="21"/>
          <w:szCs w:val="20"/>
        </w:rPr>
        <w:t>20分，按</w:t>
      </w:r>
      <w:r>
        <w:rPr>
          <w:color w:val="000000"/>
          <w:sz w:val="21"/>
          <w:szCs w:val="20"/>
        </w:rPr>
        <w:t>下列规则分别评分并累计：</w:t>
      </w:r>
    </w:p>
    <w:p>
      <w:pPr>
        <w:pStyle w:val="59"/>
        <w:spacing w:line="360" w:lineRule="exact"/>
        <w:ind w:firstLine="422"/>
        <w:rPr>
          <w:bCs/>
          <w:color w:val="000000"/>
          <w:sz w:val="21"/>
          <w:szCs w:val="21"/>
        </w:rPr>
      </w:pPr>
      <w:r>
        <w:rPr>
          <w:b/>
          <w:bCs/>
          <w:color w:val="000000"/>
          <w:sz w:val="21"/>
          <w:szCs w:val="21"/>
        </w:rPr>
        <w:t>1</w:t>
      </w:r>
      <w:r>
        <w:rPr>
          <w:rFonts w:hint="eastAsia"/>
          <w:bCs/>
          <w:color w:val="000000"/>
          <w:sz w:val="21"/>
          <w:szCs w:val="21"/>
        </w:rPr>
        <w:t xml:space="preserve">  隔墙</w:t>
      </w:r>
      <w:r>
        <w:rPr>
          <w:bCs/>
          <w:color w:val="000000"/>
          <w:sz w:val="21"/>
          <w:szCs w:val="21"/>
        </w:rPr>
        <w:t>墙体管线、装修</w:t>
      </w:r>
      <w:r>
        <w:rPr>
          <w:rFonts w:hint="eastAsia"/>
          <w:bCs/>
          <w:color w:val="000000"/>
          <w:sz w:val="21"/>
          <w:szCs w:val="21"/>
        </w:rPr>
        <w:t>采用</w:t>
      </w:r>
      <w:r>
        <w:rPr>
          <w:bCs/>
          <w:color w:val="000000"/>
          <w:sz w:val="21"/>
          <w:szCs w:val="21"/>
        </w:rPr>
        <w:t>一体化的应用比例，超过</w:t>
      </w:r>
      <w:r>
        <w:rPr>
          <w:rFonts w:hint="eastAsia"/>
          <w:bCs/>
          <w:color w:val="000000"/>
          <w:sz w:val="21"/>
          <w:szCs w:val="21"/>
        </w:rPr>
        <w:t>60</w:t>
      </w:r>
      <w:r>
        <w:rPr>
          <w:bCs/>
          <w:color w:val="000000"/>
          <w:sz w:val="21"/>
          <w:szCs w:val="21"/>
        </w:rPr>
        <w:t>%，得</w:t>
      </w:r>
      <w:r>
        <w:rPr>
          <w:rFonts w:hint="eastAsia"/>
          <w:bCs/>
          <w:color w:val="000000"/>
          <w:sz w:val="21"/>
          <w:szCs w:val="21"/>
        </w:rPr>
        <w:t>5分</w:t>
      </w:r>
      <w:r>
        <w:rPr>
          <w:bCs/>
          <w:color w:val="000000"/>
          <w:sz w:val="21"/>
          <w:szCs w:val="21"/>
        </w:rPr>
        <w:t>；</w:t>
      </w:r>
    </w:p>
    <w:p>
      <w:pPr>
        <w:pStyle w:val="59"/>
        <w:spacing w:line="360" w:lineRule="exact"/>
        <w:ind w:firstLine="422"/>
        <w:rPr>
          <w:bCs/>
          <w:color w:val="000000"/>
          <w:sz w:val="21"/>
          <w:szCs w:val="21"/>
        </w:rPr>
      </w:pPr>
      <w:r>
        <w:rPr>
          <w:rFonts w:hint="eastAsia"/>
          <w:b/>
          <w:bCs/>
          <w:color w:val="000000"/>
          <w:sz w:val="21"/>
          <w:szCs w:val="21"/>
        </w:rPr>
        <w:t>2</w:t>
      </w:r>
      <w:r>
        <w:rPr>
          <w:rFonts w:hint="eastAsia"/>
          <w:bCs/>
          <w:color w:val="000000"/>
          <w:sz w:val="21"/>
          <w:szCs w:val="21"/>
        </w:rPr>
        <w:t xml:space="preserve">  墙面、顶面采用装配</w:t>
      </w:r>
      <w:r>
        <w:rPr>
          <w:bCs/>
          <w:color w:val="000000"/>
          <w:sz w:val="21"/>
          <w:szCs w:val="21"/>
        </w:rPr>
        <w:t>化的应用比例，超过</w:t>
      </w:r>
      <w:r>
        <w:rPr>
          <w:rFonts w:hint="eastAsia"/>
          <w:bCs/>
          <w:color w:val="000000"/>
          <w:sz w:val="21"/>
          <w:szCs w:val="21"/>
        </w:rPr>
        <w:t>80</w:t>
      </w:r>
      <w:r>
        <w:rPr>
          <w:bCs/>
          <w:color w:val="000000"/>
          <w:sz w:val="21"/>
          <w:szCs w:val="21"/>
        </w:rPr>
        <w:t>%，</w:t>
      </w:r>
      <w:r>
        <w:rPr>
          <w:rFonts w:hint="eastAsia"/>
          <w:bCs/>
          <w:color w:val="000000"/>
          <w:sz w:val="21"/>
          <w:szCs w:val="21"/>
        </w:rPr>
        <w:t>7分</w:t>
      </w:r>
      <w:r>
        <w:rPr>
          <w:bCs/>
          <w:color w:val="000000"/>
          <w:sz w:val="21"/>
          <w:szCs w:val="21"/>
        </w:rPr>
        <w:t>；</w:t>
      </w:r>
    </w:p>
    <w:p>
      <w:pPr>
        <w:pStyle w:val="59"/>
        <w:spacing w:line="360" w:lineRule="exact"/>
        <w:ind w:firstLine="422"/>
        <w:rPr>
          <w:rStyle w:val="52"/>
          <w:rFonts w:eastAsia="仿宋"/>
          <w:b/>
          <w:color w:val="000000"/>
          <w:sz w:val="21"/>
          <w:szCs w:val="21"/>
          <w:u w:val="none"/>
        </w:rPr>
      </w:pPr>
      <w:r>
        <w:rPr>
          <w:rFonts w:hint="eastAsia"/>
          <w:b/>
          <w:bCs/>
          <w:color w:val="000000"/>
          <w:sz w:val="21"/>
          <w:szCs w:val="21"/>
        </w:rPr>
        <w:t>3</w:t>
      </w:r>
      <w:r>
        <w:rPr>
          <w:b/>
          <w:bCs/>
          <w:color w:val="000000"/>
          <w:sz w:val="21"/>
          <w:szCs w:val="21"/>
        </w:rPr>
        <w:t xml:space="preserve">  </w:t>
      </w:r>
      <w:r>
        <w:rPr>
          <w:rFonts w:hint="eastAsia"/>
          <w:bCs/>
          <w:color w:val="000000"/>
          <w:sz w:val="21"/>
          <w:szCs w:val="21"/>
        </w:rPr>
        <w:t>采用</w:t>
      </w:r>
      <w:r>
        <w:rPr>
          <w:bCs/>
          <w:color w:val="000000"/>
          <w:sz w:val="21"/>
          <w:szCs w:val="21"/>
        </w:rPr>
        <w:t>集成厨房</w:t>
      </w:r>
      <w:r>
        <w:rPr>
          <w:rFonts w:hint="eastAsia"/>
          <w:bCs/>
          <w:color w:val="000000"/>
          <w:sz w:val="21"/>
          <w:szCs w:val="21"/>
        </w:rPr>
        <w:t>，</w:t>
      </w:r>
      <w:r>
        <w:rPr>
          <w:bCs/>
          <w:color w:val="000000"/>
          <w:sz w:val="21"/>
          <w:szCs w:val="21"/>
        </w:rPr>
        <w:t>得4</w:t>
      </w:r>
      <w:r>
        <w:rPr>
          <w:rFonts w:hint="eastAsia"/>
          <w:bCs/>
          <w:color w:val="000000"/>
          <w:sz w:val="21"/>
          <w:szCs w:val="21"/>
        </w:rPr>
        <w:t>分</w:t>
      </w:r>
      <w:r>
        <w:rPr>
          <w:bCs/>
          <w:color w:val="000000"/>
          <w:sz w:val="21"/>
          <w:szCs w:val="21"/>
        </w:rPr>
        <w:t>；</w:t>
      </w:r>
    </w:p>
    <w:p>
      <w:pPr>
        <w:pStyle w:val="59"/>
        <w:spacing w:line="360" w:lineRule="exact"/>
        <w:ind w:firstLine="435" w:firstLineChars="0"/>
        <w:rPr>
          <w:bCs/>
          <w:color w:val="000000"/>
          <w:sz w:val="21"/>
          <w:szCs w:val="21"/>
        </w:rPr>
      </w:pPr>
      <w:r>
        <w:rPr>
          <w:rStyle w:val="52"/>
          <w:rFonts w:hint="eastAsia" w:eastAsia="仿宋"/>
          <w:b/>
          <w:color w:val="000000"/>
          <w:sz w:val="21"/>
          <w:szCs w:val="21"/>
          <w:u w:val="none"/>
        </w:rPr>
        <w:t>4</w:t>
      </w:r>
      <w:r>
        <w:rPr>
          <w:rStyle w:val="52"/>
          <w:rFonts w:eastAsia="仿宋"/>
          <w:b/>
          <w:color w:val="000000"/>
          <w:sz w:val="21"/>
          <w:szCs w:val="21"/>
          <w:u w:val="none"/>
        </w:rPr>
        <w:t xml:space="preserve">  </w:t>
      </w:r>
      <w:r>
        <w:rPr>
          <w:rFonts w:hint="eastAsia"/>
          <w:bCs/>
          <w:color w:val="000000"/>
          <w:sz w:val="21"/>
          <w:szCs w:val="21"/>
        </w:rPr>
        <w:t>采用</w:t>
      </w:r>
      <w:r>
        <w:rPr>
          <w:bCs/>
          <w:color w:val="000000"/>
          <w:sz w:val="21"/>
          <w:szCs w:val="21"/>
        </w:rPr>
        <w:t>集成卫浴，</w:t>
      </w:r>
      <w:r>
        <w:rPr>
          <w:rFonts w:hint="eastAsia"/>
          <w:bCs/>
          <w:color w:val="000000"/>
          <w:sz w:val="21"/>
          <w:szCs w:val="21"/>
        </w:rPr>
        <w:t>得</w:t>
      </w:r>
      <w:r>
        <w:rPr>
          <w:bCs/>
          <w:color w:val="000000"/>
          <w:sz w:val="21"/>
          <w:szCs w:val="21"/>
        </w:rPr>
        <w:t>4</w:t>
      </w:r>
      <w:r>
        <w:rPr>
          <w:rFonts w:hint="eastAsia"/>
          <w:bCs/>
          <w:color w:val="000000"/>
          <w:sz w:val="21"/>
          <w:szCs w:val="21"/>
        </w:rPr>
        <w:t>分</w:t>
      </w:r>
      <w:r>
        <w:rPr>
          <w:bCs/>
          <w:color w:val="000000"/>
          <w:sz w:val="21"/>
          <w:szCs w:val="21"/>
        </w:rPr>
        <w:t>；</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7.2.4</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的预评价、评价。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国家大力鼓励和推行装配式建筑，根据日本等先进国家和地区有关装配式建筑的发展历史过程和经验，装配式建筑是建筑结构体系与室内装饰装修部品模数化的高度协调统一，即SI体系（Structure结构，Interior室内装饰装修）。所以，目前市场上大肆强调建筑主体结构和围护结构的标准化、工业化和产业化，而忽略室内装饰装修的部品、部件的规格化、系列化、装配化，不是真正意义上的装配式建筑。室内装饰装修产业化需要进行设计标准化、模块化、生产加工工厂化、部品构件成品化。日前，我国装饰装修成品化率还很低，需要对成品化率较高的项目给予鼓励，实现较高的成品化率（50%以上），不但是对国家装配式建筑的贡献，还是衡量我国建筑装饰行业科技创新、供给侧改革转型升级水平的重要指标之一。</w:t>
      </w:r>
    </w:p>
    <w:p>
      <w:pPr>
        <w:pStyle w:val="59"/>
        <w:spacing w:line="360" w:lineRule="exact"/>
        <w:ind w:firstLine="420"/>
        <w:rPr>
          <w:rFonts w:eastAsia="华文仿宋"/>
          <w:bCs/>
          <w:color w:val="000000"/>
          <w:sz w:val="21"/>
          <w:szCs w:val="21"/>
        </w:rPr>
      </w:pPr>
      <w:r>
        <w:rPr>
          <w:rFonts w:eastAsia="华文仿宋"/>
          <w:bCs/>
          <w:color w:val="000000"/>
          <w:sz w:val="21"/>
          <w:szCs w:val="21"/>
        </w:rPr>
        <w:t>本条的评价方法为</w:t>
      </w:r>
      <w:r>
        <w:rPr>
          <w:rFonts w:hint="eastAsia" w:eastAsia="华文仿宋"/>
          <w:bCs/>
          <w:color w:val="000000"/>
          <w:sz w:val="21"/>
          <w:szCs w:val="21"/>
        </w:rPr>
        <w:t>：预评价查阅核算项目竣工图和相关文件；评价查阅核算项目竣工图和相关文件，</w:t>
      </w:r>
      <w:r>
        <w:rPr>
          <w:rFonts w:eastAsia="华文仿宋"/>
          <w:bCs/>
          <w:color w:val="000000"/>
          <w:sz w:val="21"/>
          <w:szCs w:val="21"/>
        </w:rPr>
        <w:t>并</w:t>
      </w:r>
      <w:r>
        <w:rPr>
          <w:rFonts w:hint="eastAsia" w:eastAsia="华文仿宋"/>
          <w:bCs/>
          <w:color w:val="000000"/>
          <w:sz w:val="21"/>
          <w:szCs w:val="21"/>
        </w:rPr>
        <w:t>应</w:t>
      </w:r>
      <w:r>
        <w:rPr>
          <w:rFonts w:eastAsia="华文仿宋"/>
          <w:bCs/>
          <w:color w:val="000000"/>
          <w:sz w:val="21"/>
          <w:szCs w:val="21"/>
        </w:rPr>
        <w:t>现场核实</w:t>
      </w:r>
      <w:r>
        <w:rPr>
          <w:rFonts w:hint="eastAsia" w:eastAsia="华文仿宋"/>
          <w:bCs/>
          <w:color w:val="000000"/>
          <w:sz w:val="21"/>
          <w:szCs w:val="21"/>
        </w:rPr>
        <w:t>。</w:t>
      </w:r>
    </w:p>
    <w:p>
      <w:pPr>
        <w:pStyle w:val="59"/>
        <w:spacing w:line="360" w:lineRule="exact"/>
        <w:ind w:firstLine="0" w:firstLineChars="0"/>
        <w:rPr>
          <w:color w:val="000000"/>
          <w:sz w:val="21"/>
          <w:szCs w:val="20"/>
        </w:rPr>
      </w:pPr>
      <w:r>
        <w:rPr>
          <w:rStyle w:val="52"/>
          <w:rFonts w:eastAsia="仿宋"/>
          <w:b/>
          <w:color w:val="000000"/>
          <w:sz w:val="21"/>
          <w:szCs w:val="21"/>
          <w:u w:val="none"/>
        </w:rPr>
        <w:t>7</w:t>
      </w:r>
      <w:r>
        <w:rPr>
          <w:rStyle w:val="52"/>
          <w:rFonts w:hint="eastAsia" w:eastAsia="仿宋"/>
          <w:b/>
          <w:color w:val="000000"/>
          <w:sz w:val="21"/>
          <w:szCs w:val="21"/>
          <w:u w:val="none"/>
        </w:rPr>
        <w:t>.2.</w:t>
      </w:r>
      <w:r>
        <w:rPr>
          <w:rStyle w:val="52"/>
          <w:rFonts w:eastAsia="仿宋"/>
          <w:b/>
          <w:color w:val="000000"/>
          <w:sz w:val="21"/>
          <w:szCs w:val="21"/>
          <w:u w:val="none"/>
        </w:rPr>
        <w:t>5</w:t>
      </w:r>
      <w:r>
        <w:rPr>
          <w:rStyle w:val="52"/>
          <w:rFonts w:hint="eastAsia" w:eastAsia="仿宋"/>
          <w:b/>
          <w:color w:val="000000"/>
          <w:sz w:val="21"/>
          <w:szCs w:val="21"/>
          <w:u w:val="none"/>
        </w:rPr>
        <w:t xml:space="preserve">  </w:t>
      </w:r>
      <w:r>
        <w:rPr>
          <w:rFonts w:hint="eastAsia"/>
          <w:color w:val="000000"/>
          <w:sz w:val="21"/>
          <w:szCs w:val="20"/>
        </w:rPr>
        <w:t>室内装饰装修项目的室内主要功能区域采取高效过滤和空气净化装置，室内空气中的氨、甲醛、苯、总挥发性有机化合物、氡、可吸入颗粒物等污染物浓度不高于现行国家标准《室内空气质量标准》GB/T18883规定值50%，评价分值为</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7.2.5</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是第8.2.8条的更高层次要求。以TVOC浓度为例，英国BREEAM新版文件的要求不大于300ug/m°，比我同现行国家标准要求（不大于600ug/m2）更为严格。甲醛浓度也是如此，先进国家的绿色建筑标准要求均在50ug/m3~60ug/m2的水平，也比我国现行国家标准要求（不大于0.10mg/m2）严格。进一步提高室内环境质量指标要求的同时，也适当考虑了我国当前的室内环境条件和装修材料工艺水平，因此，将现行国家标准规定值的50%作为室内空气品质的更高要求，同时，应依据相关国家现行标准进行检测。</w:t>
      </w:r>
    </w:p>
    <w:p>
      <w:pPr>
        <w:pStyle w:val="59"/>
        <w:spacing w:line="360" w:lineRule="exact"/>
        <w:ind w:firstLine="420"/>
        <w:rPr>
          <w:rFonts w:eastAsia="华文仿宋"/>
          <w:bCs/>
          <w:color w:val="000000"/>
          <w:sz w:val="21"/>
          <w:szCs w:val="21"/>
        </w:rPr>
      </w:pPr>
      <w:r>
        <w:rPr>
          <w:rFonts w:eastAsia="华文仿宋"/>
          <w:bCs/>
          <w:color w:val="000000"/>
          <w:sz w:val="21"/>
          <w:szCs w:val="21"/>
        </w:rPr>
        <w:t>本条的评价方法为</w:t>
      </w:r>
      <w:r>
        <w:rPr>
          <w:rFonts w:hint="eastAsia" w:eastAsia="华文仿宋"/>
          <w:bCs/>
          <w:color w:val="000000"/>
          <w:sz w:val="21"/>
          <w:szCs w:val="21"/>
        </w:rPr>
        <w:t>：预评价查阅</w:t>
      </w:r>
      <w:r>
        <w:rPr>
          <w:rFonts w:eastAsia="华文仿宋"/>
          <w:bCs/>
          <w:color w:val="000000"/>
          <w:sz w:val="21"/>
          <w:szCs w:val="21"/>
        </w:rPr>
        <w:t>相关设计文件、建筑材料使用说明（</w:t>
      </w:r>
      <w:r>
        <w:rPr>
          <w:rFonts w:hint="eastAsia" w:eastAsia="华文仿宋"/>
          <w:bCs/>
          <w:color w:val="000000"/>
          <w:sz w:val="21"/>
          <w:szCs w:val="21"/>
        </w:rPr>
        <w:t>种类</w:t>
      </w:r>
      <w:r>
        <w:rPr>
          <w:rFonts w:eastAsia="华文仿宋"/>
          <w:bCs/>
          <w:color w:val="000000"/>
          <w:sz w:val="21"/>
          <w:szCs w:val="21"/>
        </w:rPr>
        <w:t>、用量）</w:t>
      </w:r>
      <w:r>
        <w:rPr>
          <w:rFonts w:hint="eastAsia" w:eastAsia="华文仿宋"/>
          <w:bCs/>
          <w:color w:val="000000"/>
          <w:sz w:val="21"/>
          <w:szCs w:val="21"/>
        </w:rPr>
        <w:t>、</w:t>
      </w:r>
      <w:r>
        <w:rPr>
          <w:rFonts w:eastAsia="华文仿宋"/>
          <w:bCs/>
          <w:color w:val="000000"/>
          <w:sz w:val="21"/>
          <w:szCs w:val="21"/>
        </w:rPr>
        <w:t>污染物浓度预评估分析报告；评价查阅相关竣工图、建筑材料使用说明</w:t>
      </w:r>
      <w:r>
        <w:rPr>
          <w:rFonts w:hint="eastAsia" w:eastAsia="华文仿宋"/>
          <w:bCs/>
          <w:color w:val="000000"/>
          <w:sz w:val="21"/>
          <w:szCs w:val="21"/>
        </w:rPr>
        <w:t>（种类</w:t>
      </w:r>
      <w:r>
        <w:rPr>
          <w:rFonts w:eastAsia="华文仿宋"/>
          <w:bCs/>
          <w:color w:val="000000"/>
          <w:sz w:val="21"/>
          <w:szCs w:val="21"/>
        </w:rPr>
        <w:t>、用量</w:t>
      </w:r>
      <w:r>
        <w:rPr>
          <w:rFonts w:hint="eastAsia" w:eastAsia="华文仿宋"/>
          <w:bCs/>
          <w:color w:val="000000"/>
          <w:sz w:val="21"/>
          <w:szCs w:val="21"/>
        </w:rPr>
        <w:t>）、</w:t>
      </w:r>
      <w:r>
        <w:rPr>
          <w:rFonts w:eastAsia="华文仿宋"/>
          <w:bCs/>
          <w:color w:val="000000"/>
          <w:sz w:val="21"/>
          <w:szCs w:val="21"/>
        </w:rPr>
        <w:t>污染物浓度预评估分析报告，投入使用的项目尚应查阅室内空气质量现场检测报告。</w:t>
      </w:r>
    </w:p>
    <w:p>
      <w:pPr>
        <w:pStyle w:val="59"/>
        <w:spacing w:line="360" w:lineRule="exact"/>
        <w:ind w:firstLine="0" w:firstLineChars="0"/>
        <w:rPr>
          <w:color w:val="000000"/>
          <w:sz w:val="21"/>
          <w:szCs w:val="20"/>
        </w:rPr>
      </w:pPr>
      <w:r>
        <w:rPr>
          <w:rStyle w:val="52"/>
          <w:rFonts w:eastAsia="仿宋"/>
          <w:b/>
          <w:color w:val="000000"/>
          <w:sz w:val="21"/>
          <w:szCs w:val="21"/>
          <w:u w:val="none"/>
        </w:rPr>
        <w:t>7.2.6</w:t>
      </w:r>
      <w:r>
        <w:rPr>
          <w:rStyle w:val="52"/>
          <w:rFonts w:hint="eastAsia" w:eastAsia="仿宋"/>
          <w:b/>
          <w:color w:val="000000"/>
          <w:szCs w:val="21"/>
          <w:u w:val="none"/>
        </w:rPr>
        <w:t xml:space="preserve"> </w:t>
      </w:r>
      <w:r>
        <w:rPr>
          <w:rFonts w:hint="eastAsia"/>
          <w:color w:val="000000"/>
          <w:sz w:val="21"/>
          <w:szCs w:val="20"/>
        </w:rPr>
        <w:t>主要功能区域空间设置室内污染物浓度在线监控系统，评价总分值为</w:t>
      </w:r>
      <w:r>
        <w:rPr>
          <w:color w:val="000000"/>
          <w:sz w:val="21"/>
          <w:szCs w:val="20"/>
        </w:rPr>
        <w:t>10</w:t>
      </w:r>
      <w:r>
        <w:rPr>
          <w:rFonts w:hint="eastAsia"/>
          <w:color w:val="000000"/>
          <w:sz w:val="21"/>
          <w:szCs w:val="20"/>
        </w:rPr>
        <w:t>分，并按下列规则分别评分并累计：</w:t>
      </w:r>
    </w:p>
    <w:p>
      <w:pPr>
        <w:pStyle w:val="59"/>
        <w:spacing w:line="360" w:lineRule="exact"/>
        <w:ind w:firstLine="422"/>
        <w:rPr>
          <w:bCs/>
          <w:color w:val="000000"/>
          <w:sz w:val="21"/>
          <w:szCs w:val="21"/>
        </w:rPr>
      </w:pPr>
      <w:r>
        <w:rPr>
          <w:b/>
          <w:bCs/>
          <w:color w:val="000000"/>
          <w:sz w:val="21"/>
          <w:szCs w:val="21"/>
        </w:rPr>
        <w:t>1</w:t>
      </w:r>
      <w:r>
        <w:rPr>
          <w:rFonts w:hint="eastAsia"/>
          <w:bCs/>
          <w:color w:val="000000"/>
          <w:sz w:val="21"/>
          <w:szCs w:val="21"/>
        </w:rPr>
        <w:t xml:space="preserve">  实现不少于</w:t>
      </w:r>
      <w:r>
        <w:rPr>
          <w:bCs/>
          <w:color w:val="000000"/>
          <w:sz w:val="21"/>
          <w:szCs w:val="21"/>
        </w:rPr>
        <w:t>365d</w:t>
      </w:r>
      <w:r>
        <w:rPr>
          <w:rFonts w:hint="eastAsia"/>
          <w:bCs/>
          <w:color w:val="000000"/>
          <w:sz w:val="21"/>
          <w:szCs w:val="21"/>
        </w:rPr>
        <w:t>室内空气污染物浓度进行连续在线监测数据采集、分析和超标实施报警，得</w:t>
      </w:r>
      <w:r>
        <w:rPr>
          <w:bCs/>
          <w:color w:val="000000"/>
          <w:sz w:val="21"/>
          <w:szCs w:val="21"/>
        </w:rPr>
        <w:t>5</w:t>
      </w:r>
      <w:r>
        <w:rPr>
          <w:rFonts w:hint="eastAsia"/>
          <w:bCs/>
          <w:color w:val="000000"/>
          <w:sz w:val="21"/>
          <w:szCs w:val="21"/>
        </w:rPr>
        <w:t>分；</w:t>
      </w:r>
    </w:p>
    <w:p>
      <w:pPr>
        <w:pStyle w:val="59"/>
        <w:spacing w:line="360" w:lineRule="exact"/>
        <w:ind w:firstLine="422"/>
        <w:rPr>
          <w:bCs/>
          <w:color w:val="000000"/>
          <w:sz w:val="21"/>
          <w:szCs w:val="21"/>
        </w:rPr>
      </w:pPr>
      <w:r>
        <w:rPr>
          <w:rFonts w:hint="eastAsia"/>
          <w:b/>
          <w:bCs/>
          <w:color w:val="000000"/>
          <w:sz w:val="21"/>
          <w:szCs w:val="21"/>
        </w:rPr>
        <w:t>2</w:t>
      </w:r>
      <w:r>
        <w:rPr>
          <w:rFonts w:hint="eastAsia"/>
          <w:bCs/>
          <w:color w:val="000000"/>
          <w:sz w:val="21"/>
          <w:szCs w:val="21"/>
        </w:rPr>
        <w:t xml:space="preserve">  将监测系统与通风系统或净化设备进行联动，得</w:t>
      </w:r>
      <w:r>
        <w:rPr>
          <w:bCs/>
          <w:color w:val="000000"/>
          <w:sz w:val="21"/>
          <w:szCs w:val="21"/>
        </w:rPr>
        <w:t>5</w:t>
      </w:r>
      <w:r>
        <w:rPr>
          <w:rFonts w:hint="eastAsia"/>
          <w:bCs/>
          <w:color w:val="000000"/>
          <w:sz w:val="21"/>
          <w:szCs w:val="21"/>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7.2.6</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w:t>
      </w:r>
      <w:r>
        <w:rPr>
          <w:rFonts w:eastAsia="华文仿宋"/>
          <w:bCs/>
          <w:color w:val="000000"/>
          <w:szCs w:val="21"/>
        </w:rPr>
        <w:t>评价</w:t>
      </w:r>
      <w:r>
        <w:rPr>
          <w:rFonts w:hint="eastAsia" w:eastAsia="华文仿宋"/>
          <w:bCs/>
          <w:color w:val="000000"/>
          <w:szCs w:val="21"/>
        </w:rPr>
        <w:t>、</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根据研究表明，人们80%的时间在室内环境中度过，室内环境空气质量对人们的生活和工作质量以及公众的身体健康产生重大的影响，室内空气典型污染物主要来源于室内装饰装修材料及饰品、家具等产生的甲醛、苯及苯系物、总挥发性有机化合物（TVOC），对室内空气污染物浓度实时在线监控，有利于规避污染物对人体健康产生损害的风险。</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1室内空气中典型的污染物甲醛、苯及苯系物、总挥发性有机化合物（TVOC）的释放随着时间增加逐渐衰减，365d之后基本趋于平缓，同时污染物的浓度受室内空间的温度、通风换气状况以及室内人员活动的影响，因此对室内空气污染物浓度进行为期365d的在线监测数据采集、分析和超标实施报警，采取相应措施，规避室内空间在投入使用中由于天气变化引起室内温度的变化、室内空间的修补、清洁及新购置的饰品、家具而引入新的污染物等所引起室内空间污染物浓度升高对室内人员身体产生损害的风险。</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2通过监测系统与通风系统或净化设备进行联动，当传感器监测到室内污染物浓度超过设定限值时，自动启动排风系统，排除室内空气污染物。室内空气污染物浓度设定值可参考国家标准《室内空气质量》（GB/T18883等相关标准的规定。</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本条的评价方法为：预评价查阅相关设计文件；评价查阅相关设计文件、</w:t>
      </w:r>
      <w:r>
        <w:rPr>
          <w:rFonts w:eastAsia="华文仿宋"/>
          <w:bCs/>
          <w:color w:val="000000"/>
          <w:szCs w:val="21"/>
        </w:rPr>
        <w:t>应现场核实</w:t>
      </w:r>
      <w:r>
        <w:rPr>
          <w:rFonts w:hint="eastAsia" w:eastAsia="华文仿宋"/>
          <w:bCs/>
          <w:color w:val="000000"/>
          <w:szCs w:val="21"/>
        </w:rPr>
        <w:t>，投入</w:t>
      </w:r>
      <w:r>
        <w:rPr>
          <w:rFonts w:eastAsia="华文仿宋"/>
          <w:bCs/>
          <w:color w:val="000000"/>
          <w:szCs w:val="21"/>
        </w:rPr>
        <w:t>使用的项目尚应查阅在线监测数据采集及分析报告</w:t>
      </w:r>
      <w:r>
        <w:rPr>
          <w:rFonts w:hint="eastAsia" w:eastAsia="华文仿宋"/>
          <w:bCs/>
          <w:color w:val="000000"/>
          <w:szCs w:val="21"/>
        </w:rPr>
        <w:t>。</w:t>
      </w:r>
    </w:p>
    <w:p>
      <w:pPr>
        <w:pStyle w:val="59"/>
        <w:spacing w:line="360" w:lineRule="exact"/>
        <w:ind w:firstLine="0" w:firstLineChars="0"/>
        <w:rPr>
          <w:color w:val="000000"/>
          <w:sz w:val="21"/>
          <w:szCs w:val="20"/>
        </w:rPr>
      </w:pPr>
      <w:r>
        <w:rPr>
          <w:b/>
          <w:color w:val="000000"/>
          <w:sz w:val="21"/>
          <w:szCs w:val="20"/>
        </w:rPr>
        <w:t>7</w:t>
      </w:r>
      <w:r>
        <w:rPr>
          <w:rFonts w:hint="eastAsia"/>
          <w:b/>
          <w:color w:val="000000"/>
          <w:sz w:val="21"/>
          <w:szCs w:val="20"/>
        </w:rPr>
        <w:t>.2.</w:t>
      </w:r>
      <w:r>
        <w:rPr>
          <w:b/>
          <w:color w:val="000000"/>
          <w:sz w:val="21"/>
          <w:szCs w:val="20"/>
        </w:rPr>
        <w:t>7</w:t>
      </w:r>
      <w:r>
        <w:rPr>
          <w:rFonts w:hint="eastAsia"/>
          <w:color w:val="000000"/>
          <w:sz w:val="21"/>
          <w:szCs w:val="20"/>
        </w:rPr>
        <w:t xml:space="preserve">  室内主要功能房间或区域的室内热湿环境满足现行国家标准《民用建筑室内热湿环境评价标准》GB/T50785-2012中规定的评价等级Ⅰ级，评价分值为</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7.2.7</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室内热湿环境是室内人居环境重要组成部分，与人们的工作、生活息息相关，涉及重大民生问题。随着社会进步、生活幸福指数提高，如何合理设计，营造适宜、健康的室内热湿环境是人类面临的挑战。室内热湿环境的评价是复杂系统性工作，涉及建筑物的类型、使用要求、气候条件、人体热平衡原理和心理生理学主观感觉等诸多因素。国家住建部2012年5月28日颁布的《民用建筑室内热湿环境评价标准》GB/T507852012参考了国外先进技术法规、技术标准ISO7730、ASHRAE55等，通过全国范围内的现场调研测试，结合热舒适实验研究，提出了适合我国民用建筑室内热湿环境的科学评价方法。该标准规定民用建筑热湿环境按照冷热方式分为人工冷热源热湿环境和非人工冷热源热湿环境。民用建筑室内热湿环境评价等级划分为1级、Ⅱ级和Ⅲ级，I级为最高等级。评价阶段分为：设计阶段的评价和使用阶段的评价（在竣工验收投入正常使用一年后进行）。《民用建筑室内热湿环境评价标准》适用于居住建筑、办公建筑、商店建筑、旅馆酒店建筑和教育建筑等的室内热湿环境评价。</w:t>
      </w:r>
    </w:p>
    <w:p>
      <w:pPr>
        <w:pStyle w:val="59"/>
        <w:spacing w:line="360" w:lineRule="exact"/>
        <w:ind w:firstLine="420"/>
        <w:rPr>
          <w:rFonts w:eastAsia="华文仿宋"/>
          <w:bCs/>
          <w:color w:val="000000"/>
          <w:sz w:val="21"/>
          <w:szCs w:val="21"/>
        </w:rPr>
      </w:pPr>
      <w:r>
        <w:rPr>
          <w:rFonts w:hint="eastAsia" w:eastAsia="华文仿宋"/>
          <w:bCs/>
          <w:color w:val="000000"/>
          <w:sz w:val="21"/>
          <w:szCs w:val="21"/>
        </w:rPr>
        <w:t>本条的评价方法为：预评价</w:t>
      </w:r>
      <w:r>
        <w:rPr>
          <w:rFonts w:eastAsia="华文仿宋"/>
          <w:bCs/>
          <w:color w:val="000000"/>
          <w:sz w:val="21"/>
          <w:szCs w:val="21"/>
        </w:rPr>
        <w:t>查阅相关设计文件及计算报告；</w:t>
      </w:r>
      <w:r>
        <w:rPr>
          <w:rFonts w:hint="eastAsia" w:eastAsia="华文仿宋"/>
          <w:bCs/>
          <w:color w:val="000000"/>
          <w:sz w:val="21"/>
          <w:szCs w:val="21"/>
        </w:rPr>
        <w:t>评价查阅施工图设计文件、计算分析报告、竣工验收文件和验收检测报告、室内热湿环境评价评估报告。</w:t>
      </w:r>
    </w:p>
    <w:p>
      <w:pPr>
        <w:pStyle w:val="59"/>
        <w:spacing w:line="360" w:lineRule="exact"/>
        <w:ind w:firstLine="0" w:firstLineChars="0"/>
        <w:rPr>
          <w:color w:val="000000"/>
          <w:sz w:val="21"/>
          <w:szCs w:val="20"/>
        </w:rPr>
      </w:pPr>
      <w:r>
        <w:rPr>
          <w:rStyle w:val="52"/>
          <w:rFonts w:eastAsia="仿宋"/>
          <w:b/>
          <w:color w:val="000000"/>
          <w:sz w:val="21"/>
          <w:szCs w:val="21"/>
          <w:u w:val="none"/>
        </w:rPr>
        <w:t xml:space="preserve">7.2.8  </w:t>
      </w:r>
      <w:r>
        <w:rPr>
          <w:rFonts w:hint="eastAsia"/>
          <w:color w:val="000000"/>
          <w:sz w:val="21"/>
          <w:szCs w:val="20"/>
        </w:rPr>
        <w:t>室内装饰装修项目中应用建筑信息模型（BIM）技术，评价最高分值为</w:t>
      </w:r>
      <w:r>
        <w:rPr>
          <w:color w:val="000000"/>
          <w:sz w:val="21"/>
          <w:szCs w:val="20"/>
        </w:rPr>
        <w:t>10</w:t>
      </w:r>
      <w:r>
        <w:rPr>
          <w:rFonts w:hint="eastAsia"/>
          <w:color w:val="000000"/>
          <w:sz w:val="21"/>
          <w:szCs w:val="20"/>
        </w:rPr>
        <w:t>分。在设计、施工阶段中一个阶段应用，得</w:t>
      </w:r>
      <w:r>
        <w:rPr>
          <w:color w:val="000000"/>
          <w:sz w:val="21"/>
          <w:szCs w:val="20"/>
        </w:rPr>
        <w:t>5</w:t>
      </w:r>
      <w:r>
        <w:rPr>
          <w:rFonts w:hint="eastAsia"/>
          <w:color w:val="000000"/>
          <w:sz w:val="21"/>
          <w:szCs w:val="20"/>
        </w:rPr>
        <w:t>分；在两个阶段应用，得</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7.2.8</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w:t>
      </w:r>
      <w:r>
        <w:rPr>
          <w:rFonts w:eastAsia="华文仿宋"/>
          <w:bCs/>
          <w:color w:val="000000"/>
          <w:szCs w:val="21"/>
        </w:rPr>
        <w:t>评价</w:t>
      </w:r>
      <w:r>
        <w:rPr>
          <w:rFonts w:hint="eastAsia" w:eastAsia="华文仿宋"/>
          <w:bCs/>
          <w:color w:val="000000"/>
          <w:szCs w:val="21"/>
        </w:rPr>
        <w:t>、</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建筑信息模型（BIM）是建筑业信息化的重要支撑技术。BIM是在CAD技术基础上发展起来的多维模型信息集成技术。BIM是集成了建筑工程项目各种相关信息的工程数据模型，能使设计人员和工程人员对各种建筑信息做出正确的应对，实现数据共享并协同工作。BIM技术支持建筑工程全寿命期的信息管理和利用。在建筑工程建设的各阶段支持基于BlM的数据交换和共享，可以极大地提升建筑工程信息化整体水平，工程建设各阶段和各专业之间的协作配合可以在更高层次上充分利用各自资源，有效地避免由于数据不通畅带来的重复性劳动，大大提高整个工程的质量和效率，并显著降低成本。</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本条的评价方法为：预评价查阅</w:t>
      </w:r>
      <w:r>
        <w:rPr>
          <w:rFonts w:eastAsia="华文仿宋"/>
          <w:bCs/>
          <w:color w:val="000000"/>
          <w:szCs w:val="21"/>
        </w:rPr>
        <w:t>相关设计文件；评价</w:t>
      </w:r>
      <w:r>
        <w:rPr>
          <w:rFonts w:hint="eastAsia" w:eastAsia="华文仿宋"/>
          <w:bCs/>
          <w:color w:val="000000"/>
          <w:szCs w:val="21"/>
        </w:rPr>
        <w:t>查阅规划设计、施工建造阶段的BIM技术应用报告、运行维护阶段的BIM技术应用报告等。</w:t>
      </w:r>
    </w:p>
    <w:p>
      <w:pPr>
        <w:pStyle w:val="59"/>
        <w:spacing w:line="360" w:lineRule="exact"/>
        <w:ind w:firstLine="0" w:firstLineChars="0"/>
        <w:rPr>
          <w:color w:val="000000"/>
          <w:sz w:val="21"/>
          <w:szCs w:val="20"/>
        </w:rPr>
      </w:pPr>
      <w:r>
        <w:rPr>
          <w:rStyle w:val="52"/>
          <w:rFonts w:eastAsia="仿宋"/>
          <w:b/>
          <w:color w:val="000000"/>
          <w:sz w:val="21"/>
          <w:szCs w:val="21"/>
          <w:u w:val="none"/>
        </w:rPr>
        <w:t>7.2.9</w:t>
      </w:r>
      <w:r>
        <w:rPr>
          <w:rStyle w:val="52"/>
          <w:rFonts w:hint="eastAsia" w:eastAsia="仿宋"/>
          <w:b/>
          <w:color w:val="000000"/>
          <w:szCs w:val="21"/>
          <w:u w:val="none"/>
        </w:rPr>
        <w:t xml:space="preserve">  </w:t>
      </w:r>
      <w:r>
        <w:rPr>
          <w:rFonts w:hint="eastAsia"/>
          <w:color w:val="000000"/>
          <w:sz w:val="21"/>
          <w:szCs w:val="20"/>
        </w:rPr>
        <w:t>室内装饰装修项目进行碳排放计算，采取措施降低单位面积碳排放强度，评价分值为</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7.2.9</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的预评价、评价。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建筑室内装饰装修碳排放计算及其碳足迹分析，不仅有助于帮助绿色室内装饰装修项目进一步达到和优化节能、节水、节材等资源节约目标，而且有助于进一步明确建筑室内装饰装修对于我国温室气体减排的贡献量。经过多年的研究探索，我国也有了较为成熟的计算方法和一定量的案例实践。在计算分析基础上，再进一步采取相关节能减排措施降低碳排放，做到有的放矢。绿色室内装饰装修作为节约资源、保护环境的载体，理应将此作为一项技术措施同步开展。建筑室内装饰装修碳排放计算分析包括建筑固有的碳排放量和标准运行工况下的资源消耗碳排放量。竣工验收阶段的碳排放计算分析报告主要分析建筑室内装饰装修的固有碳排放量，运营管理阶段主要分析在标准运行工况下建筑室内装饰装修的资源消耗碳排放量。</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本条的评价方法为：预评价查阅竣工验收阶段的碳排放计算分析报告，以及相应措施；评价查阅碳排放计算分析报告，以及相应措施的落实情况，</w:t>
      </w:r>
      <w:r>
        <w:rPr>
          <w:rFonts w:eastAsia="华文仿宋"/>
          <w:bCs/>
          <w:color w:val="000000"/>
          <w:szCs w:val="21"/>
        </w:rPr>
        <w:t>投入使用的项目尚应核查相应措施</w:t>
      </w:r>
      <w:r>
        <w:rPr>
          <w:rFonts w:hint="eastAsia" w:eastAsia="华文仿宋"/>
          <w:bCs/>
          <w:color w:val="000000"/>
          <w:szCs w:val="21"/>
        </w:rPr>
        <w:t>运行情况。</w:t>
      </w:r>
    </w:p>
    <w:p>
      <w:pPr>
        <w:pStyle w:val="59"/>
        <w:spacing w:line="360" w:lineRule="exact"/>
        <w:ind w:firstLine="0" w:firstLineChars="0"/>
        <w:rPr>
          <w:color w:val="000000"/>
          <w:sz w:val="21"/>
          <w:szCs w:val="20"/>
        </w:rPr>
      </w:pPr>
      <w:r>
        <w:rPr>
          <w:rStyle w:val="52"/>
          <w:rFonts w:eastAsia="仿宋"/>
          <w:b/>
          <w:color w:val="000000"/>
          <w:sz w:val="21"/>
          <w:szCs w:val="21"/>
          <w:u w:val="none"/>
        </w:rPr>
        <w:t>7.2.10</w:t>
      </w:r>
      <w:r>
        <w:rPr>
          <w:rStyle w:val="52"/>
          <w:rFonts w:hint="eastAsia" w:eastAsia="仿宋"/>
          <w:b/>
          <w:color w:val="000000"/>
          <w:szCs w:val="21"/>
          <w:u w:val="none"/>
        </w:rPr>
        <w:t xml:space="preserve">  </w:t>
      </w:r>
      <w:r>
        <w:rPr>
          <w:rFonts w:hint="eastAsia"/>
          <w:color w:val="000000"/>
          <w:sz w:val="21"/>
          <w:szCs w:val="20"/>
        </w:rPr>
        <w:t>荣获国内</w:t>
      </w:r>
      <w:r>
        <w:rPr>
          <w:color w:val="000000"/>
          <w:sz w:val="21"/>
          <w:szCs w:val="20"/>
        </w:rPr>
        <w:t>或国际认证评价标识，获得绿建三星、</w:t>
      </w:r>
      <w:r>
        <w:rPr>
          <w:rFonts w:hint="eastAsia"/>
          <w:color w:val="000000"/>
          <w:sz w:val="21"/>
          <w:szCs w:val="20"/>
        </w:rPr>
        <w:t>健康建筑</w:t>
      </w:r>
      <w:r>
        <w:rPr>
          <w:color w:val="000000"/>
          <w:sz w:val="21"/>
          <w:szCs w:val="20"/>
        </w:rPr>
        <w:t>三星</w:t>
      </w:r>
      <w:r>
        <w:rPr>
          <w:rFonts w:hint="eastAsia"/>
          <w:color w:val="000000"/>
          <w:sz w:val="21"/>
          <w:szCs w:val="20"/>
        </w:rPr>
        <w:t>或WELL金</w:t>
      </w:r>
      <w:r>
        <w:rPr>
          <w:color w:val="000000"/>
          <w:sz w:val="21"/>
          <w:szCs w:val="20"/>
        </w:rPr>
        <w:t>级、</w:t>
      </w:r>
      <w:r>
        <w:rPr>
          <w:rFonts w:hint="eastAsia"/>
          <w:color w:val="000000"/>
          <w:sz w:val="21"/>
          <w:szCs w:val="20"/>
        </w:rPr>
        <w:t>LEED金</w:t>
      </w:r>
      <w:r>
        <w:rPr>
          <w:color w:val="000000"/>
          <w:sz w:val="21"/>
          <w:szCs w:val="20"/>
        </w:rPr>
        <w:t>级及以上</w:t>
      </w:r>
      <w:r>
        <w:rPr>
          <w:rFonts w:hint="eastAsia"/>
          <w:color w:val="000000"/>
          <w:sz w:val="21"/>
          <w:szCs w:val="20"/>
        </w:rPr>
        <w:t>，每获得一项</w:t>
      </w:r>
      <w:r>
        <w:rPr>
          <w:color w:val="000000"/>
          <w:sz w:val="21"/>
          <w:szCs w:val="20"/>
        </w:rPr>
        <w:t>标识</w:t>
      </w:r>
      <w:r>
        <w:rPr>
          <w:rFonts w:hint="eastAsia"/>
          <w:color w:val="000000"/>
          <w:sz w:val="21"/>
          <w:szCs w:val="20"/>
        </w:rPr>
        <w:t>得</w:t>
      </w:r>
      <w:r>
        <w:rPr>
          <w:color w:val="000000"/>
          <w:sz w:val="21"/>
          <w:szCs w:val="20"/>
        </w:rPr>
        <w:t>5</w:t>
      </w:r>
      <w:r>
        <w:rPr>
          <w:rFonts w:hint="eastAsia"/>
          <w:color w:val="000000"/>
          <w:sz w:val="21"/>
          <w:szCs w:val="20"/>
        </w:rPr>
        <w:t>分，</w:t>
      </w:r>
      <w:r>
        <w:rPr>
          <w:color w:val="000000"/>
          <w:sz w:val="21"/>
          <w:szCs w:val="20"/>
        </w:rPr>
        <w:t>最高可得10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7.2.10</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的评价。</w:t>
      </w:r>
    </w:p>
    <w:p>
      <w:pPr>
        <w:pStyle w:val="59"/>
        <w:spacing w:line="360" w:lineRule="exact"/>
        <w:ind w:firstLine="420"/>
        <w:rPr>
          <w:rFonts w:eastAsia="华文仿宋"/>
          <w:bCs/>
          <w:color w:val="000000"/>
          <w:sz w:val="21"/>
          <w:szCs w:val="21"/>
        </w:rPr>
      </w:pPr>
      <w:r>
        <w:rPr>
          <w:rFonts w:eastAsia="华文仿宋"/>
          <w:bCs/>
          <w:color w:val="000000"/>
          <w:sz w:val="21"/>
          <w:szCs w:val="21"/>
        </w:rPr>
        <w:t>本条的评价方法为</w:t>
      </w:r>
      <w:r>
        <w:rPr>
          <w:rFonts w:hint="eastAsia" w:eastAsia="华文仿宋"/>
          <w:bCs/>
          <w:color w:val="000000"/>
          <w:sz w:val="21"/>
          <w:szCs w:val="21"/>
        </w:rPr>
        <w:t>：评价查阅相关国家和地方绿色建筑标识获奖评定资料和相关文件资料。</w:t>
      </w:r>
    </w:p>
    <w:p>
      <w:pPr>
        <w:pStyle w:val="59"/>
        <w:spacing w:line="360" w:lineRule="exact"/>
        <w:ind w:firstLine="0" w:firstLineChars="0"/>
        <w:rPr>
          <w:color w:val="000000"/>
          <w:sz w:val="21"/>
          <w:szCs w:val="20"/>
        </w:rPr>
      </w:pPr>
      <w:r>
        <w:rPr>
          <w:rStyle w:val="52"/>
          <w:rFonts w:eastAsia="仿宋"/>
          <w:b/>
          <w:color w:val="000000"/>
          <w:sz w:val="21"/>
          <w:szCs w:val="21"/>
          <w:u w:val="none"/>
        </w:rPr>
        <w:t>7.2.11</w:t>
      </w:r>
      <w:r>
        <w:rPr>
          <w:rStyle w:val="52"/>
          <w:rFonts w:hint="eastAsia" w:eastAsia="仿宋"/>
          <w:b/>
          <w:color w:val="000000"/>
          <w:szCs w:val="21"/>
          <w:u w:val="none"/>
        </w:rPr>
        <w:t xml:space="preserve"> </w:t>
      </w:r>
      <w:r>
        <w:rPr>
          <w:rFonts w:hint="eastAsia"/>
          <w:color w:val="000000"/>
          <w:sz w:val="21"/>
          <w:szCs w:val="20"/>
        </w:rPr>
        <w:t>建筑全</w:t>
      </w:r>
      <w:r>
        <w:rPr>
          <w:color w:val="000000"/>
          <w:sz w:val="21"/>
          <w:szCs w:val="20"/>
        </w:rPr>
        <w:t>装修工程施工工艺优良，工程获得行业知名评奖评优评价分值为10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7.2.11</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的预评价、评价。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工程获得行业知名评奖如省级及以上建筑装饰科技示范工程和科技进步奖等。</w:t>
      </w:r>
    </w:p>
    <w:p>
      <w:pPr>
        <w:pStyle w:val="59"/>
        <w:spacing w:line="360" w:lineRule="exact"/>
        <w:ind w:firstLine="420"/>
        <w:rPr>
          <w:rFonts w:eastAsia="华文仿宋"/>
          <w:bCs/>
          <w:color w:val="000000"/>
          <w:sz w:val="21"/>
          <w:szCs w:val="21"/>
        </w:rPr>
      </w:pPr>
      <w:r>
        <w:rPr>
          <w:rFonts w:eastAsia="华文仿宋"/>
          <w:bCs/>
          <w:color w:val="000000"/>
          <w:sz w:val="21"/>
          <w:szCs w:val="21"/>
        </w:rPr>
        <w:t>本条的评价方法为</w:t>
      </w:r>
      <w:r>
        <w:rPr>
          <w:rFonts w:hint="eastAsia" w:eastAsia="华文仿宋"/>
          <w:bCs/>
          <w:color w:val="000000"/>
          <w:sz w:val="21"/>
          <w:szCs w:val="21"/>
        </w:rPr>
        <w:t>：预评价查阅相关文件；评价查阅相关文件。</w:t>
      </w:r>
    </w:p>
    <w:p>
      <w:pPr>
        <w:pStyle w:val="59"/>
        <w:spacing w:line="360" w:lineRule="exact"/>
        <w:ind w:firstLine="0" w:firstLineChars="0"/>
        <w:rPr>
          <w:color w:val="000000"/>
          <w:sz w:val="21"/>
          <w:szCs w:val="20"/>
        </w:rPr>
      </w:pPr>
      <w:r>
        <w:rPr>
          <w:b/>
          <w:color w:val="000000"/>
          <w:sz w:val="21"/>
          <w:szCs w:val="20"/>
        </w:rPr>
        <w:t>7</w:t>
      </w:r>
      <w:r>
        <w:rPr>
          <w:rFonts w:hint="eastAsia"/>
          <w:b/>
          <w:color w:val="000000"/>
          <w:sz w:val="21"/>
          <w:szCs w:val="20"/>
        </w:rPr>
        <w:t>.2.</w:t>
      </w:r>
      <w:r>
        <w:rPr>
          <w:b/>
          <w:color w:val="000000"/>
          <w:sz w:val="21"/>
          <w:szCs w:val="20"/>
        </w:rPr>
        <w:t>12</w:t>
      </w:r>
      <w:r>
        <w:rPr>
          <w:rFonts w:hint="eastAsia"/>
          <w:color w:val="000000"/>
          <w:sz w:val="21"/>
          <w:szCs w:val="20"/>
        </w:rPr>
        <w:t xml:space="preserve">  室内建筑装饰装修充分考虑项目所在地区区域的气候、环境、资源、技术、文化、艺术等因素，有其所在地的特殊重要性，采取本地化的技术措施显著提高室内环境质量、提高资源和能源利用率，评价分值为</w:t>
      </w:r>
      <w:r>
        <w:rPr>
          <w:color w:val="000000"/>
          <w:sz w:val="21"/>
          <w:szCs w:val="20"/>
        </w:rPr>
        <w:t>10</w:t>
      </w:r>
      <w:r>
        <w:rPr>
          <w:rFonts w:hint="eastAsia"/>
          <w:color w:val="000000"/>
          <w:sz w:val="21"/>
          <w:szCs w:val="20"/>
        </w:rPr>
        <w:t>分。</w:t>
      </w:r>
    </w:p>
    <w:p>
      <w:pPr>
        <w:adjustRightInd w:val="0"/>
        <w:spacing w:line="360" w:lineRule="atLeast"/>
        <w:outlineLvl w:val="2"/>
        <w:rPr>
          <w:color w:val="000000"/>
          <w:szCs w:val="20"/>
        </w:rPr>
      </w:pPr>
      <w:r>
        <w:rPr>
          <w:rFonts w:hint="eastAsia"/>
          <w:color w:val="000000"/>
          <w:szCs w:val="20"/>
        </w:rPr>
        <w:t>【</w:t>
      </w:r>
      <w:r>
        <w:rPr>
          <w:rFonts w:hint="eastAsia"/>
          <w:b/>
          <w:color w:val="000000"/>
          <w:szCs w:val="20"/>
        </w:rPr>
        <w:t>条文说明</w:t>
      </w:r>
      <w:r>
        <w:rPr>
          <w:rFonts w:hint="eastAsia"/>
          <w:color w:val="000000"/>
          <w:szCs w:val="20"/>
        </w:rPr>
        <w:t>】</w:t>
      </w:r>
    </w:p>
    <w:p>
      <w:pPr>
        <w:adjustRightInd w:val="0"/>
        <w:spacing w:line="360" w:lineRule="atLeast"/>
        <w:outlineLvl w:val="2"/>
        <w:rPr>
          <w:rFonts w:eastAsia="华文仿宋"/>
          <w:bCs/>
          <w:color w:val="000000"/>
          <w:szCs w:val="21"/>
        </w:rPr>
      </w:pPr>
      <w:r>
        <w:rPr>
          <w:b/>
          <w:bCs/>
          <w:color w:val="000000"/>
          <w:szCs w:val="21"/>
        </w:rPr>
        <w:t>7.2.12</w:t>
      </w:r>
      <w:r>
        <w:rPr>
          <w:rFonts w:hint="eastAsia"/>
          <w:b/>
          <w:bCs/>
          <w:color w:val="000000"/>
          <w:szCs w:val="21"/>
        </w:rPr>
        <w:t xml:space="preserve">  </w:t>
      </w:r>
      <w:r>
        <w:rPr>
          <w:rFonts w:eastAsia="华文仿宋"/>
          <w:bCs/>
          <w:color w:val="000000"/>
          <w:szCs w:val="21"/>
        </w:rPr>
        <w:t>本条适用于各类</w:t>
      </w:r>
      <w:r>
        <w:rPr>
          <w:rFonts w:hint="eastAsia" w:eastAsia="华文仿宋"/>
          <w:bCs/>
          <w:color w:val="000000"/>
          <w:szCs w:val="21"/>
        </w:rPr>
        <w:t>民用建筑室内全装修</w:t>
      </w:r>
      <w:r>
        <w:rPr>
          <w:rFonts w:eastAsia="华文仿宋"/>
          <w:bCs/>
          <w:color w:val="000000"/>
          <w:szCs w:val="21"/>
        </w:rPr>
        <w:t>的</w:t>
      </w:r>
      <w:r>
        <w:rPr>
          <w:rFonts w:hint="eastAsia" w:eastAsia="华文仿宋"/>
          <w:bCs/>
          <w:color w:val="000000"/>
          <w:szCs w:val="21"/>
        </w:rPr>
        <w:t>预评价</w:t>
      </w:r>
      <w:r>
        <w:rPr>
          <w:rFonts w:eastAsia="华文仿宋"/>
          <w:bCs/>
          <w:color w:val="000000"/>
          <w:szCs w:val="21"/>
        </w:rPr>
        <w:t>、评价。</w:t>
      </w:r>
    </w:p>
    <w:p>
      <w:pPr>
        <w:adjustRightInd w:val="0"/>
        <w:spacing w:line="360" w:lineRule="atLeast"/>
        <w:ind w:firstLine="420" w:firstLineChars="200"/>
        <w:outlineLvl w:val="2"/>
        <w:rPr>
          <w:rFonts w:eastAsia="华文仿宋"/>
          <w:bCs/>
          <w:color w:val="000000"/>
          <w:szCs w:val="21"/>
        </w:rPr>
      </w:pPr>
      <w:r>
        <w:rPr>
          <w:rFonts w:hint="eastAsia" w:eastAsia="华文仿宋"/>
          <w:bCs/>
          <w:color w:val="000000"/>
          <w:szCs w:val="21"/>
        </w:rPr>
        <w:t>本条主要目的是为了鼓励装饰装修本地化策略，通过充分考虑项目所在地区区域的气候、环境、资源、技术、文化、艺术等因素，充分利用本地丰富资源，节约本地稀缺资源，延续当地地域文化等，提高室内环境质量，提高资源和能源利用率。</w:t>
      </w:r>
    </w:p>
    <w:p>
      <w:pPr>
        <w:adjustRightInd w:val="0"/>
        <w:spacing w:line="360" w:lineRule="atLeast"/>
        <w:ind w:firstLine="420" w:firstLineChars="200"/>
        <w:outlineLvl w:val="2"/>
        <w:rPr>
          <w:color w:val="000000"/>
          <w:szCs w:val="20"/>
        </w:rPr>
      </w:pPr>
      <w:r>
        <w:rPr>
          <w:rFonts w:hint="eastAsia" w:eastAsia="华文仿宋"/>
          <w:bCs/>
          <w:color w:val="000000"/>
          <w:szCs w:val="21"/>
        </w:rPr>
        <w:t>本条的评价方法为：预评价相关设计文件、分析论证报告；评价查阅相关竣工文件、分析论证报告，并现场核实。</w:t>
      </w:r>
    </w:p>
    <w:p>
      <w:pPr>
        <w:pStyle w:val="59"/>
        <w:spacing w:line="360" w:lineRule="exact"/>
        <w:ind w:firstLine="0" w:firstLineChars="0"/>
        <w:rPr>
          <w:rFonts w:eastAsia="华文仿宋"/>
          <w:bCs/>
          <w:color w:val="000000"/>
          <w:sz w:val="21"/>
          <w:szCs w:val="21"/>
        </w:rPr>
      </w:pPr>
    </w:p>
    <w:sectPr>
      <w:footerReference r:id="rId5" w:type="default"/>
      <w:pgSz w:w="7938" w:h="11510"/>
      <w:pgMar w:top="1247" w:right="1021" w:bottom="907" w:left="1021" w:header="851" w:footer="90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font>
  <w:font w:name="Calibri">
    <w:panose1 w:val="020F0502020204030204"/>
    <w:charset w:val="00"/>
    <w:family w:val="auto"/>
    <w:pitch w:val="default"/>
    <w:sig w:usb0="A00002EF" w:usb1="4000207B" w:usb2="00000000" w:usb3="00000000" w:csb0="2000009F" w:csb1="00000000"/>
  </w:font>
  <w:font w:name="Cambria">
    <w:panose1 w:val="02040503050406030204"/>
    <w:charset w:val="00"/>
    <w:family w:val="auto"/>
    <w:pitch w:val="default"/>
    <w:sig w:usb0="A00002EF" w:usb1="4000004B" w:usb2="00000000" w:usb3="00000000" w:csb0="2000009F" w:csb1="00000000"/>
  </w:font>
  <w:font w:name="Verdana">
    <w:panose1 w:val="020B0604030504040204"/>
    <w:charset w:val="00"/>
    <w:family w:val="auto"/>
    <w:pitch w:val="default"/>
    <w:sig w:usb0="00000287" w:usb1="00000000"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auto"/>
    <w:pitch w:val="default"/>
    <w:sig w:usb0="61007A87" w:usb1="80000000" w:usb2="00000008" w:usb3="00000000" w:csb0="200101FF" w:csb1="20280000"/>
  </w:font>
  <w:font w:name="??">
    <w:altName w:val="Times New Roman"/>
    <w:panose1 w:val="00000000000000000000"/>
    <w:charset w:val="00"/>
    <w:family w:val="auto"/>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MS Mincho">
    <w:panose1 w:val="02020609040205080304"/>
    <w:charset w:val="80"/>
    <w:family w:val="auto"/>
    <w:pitch w:val="default"/>
    <w:sig w:usb0="A00002BF" w:usb1="68C7FCFB" w:usb2="00000010" w:usb3="00000000" w:csb0="4002009F" w:csb1="DFD7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0"/>
      <w:ind w:left="1260" w:hanging="42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30"/>
      <w:ind w:left="1260" w:hanging="420"/>
      <w:jc w:val="right"/>
    </w:pPr>
    <w:r>
      <w:fldChar w:fldCharType="begin"/>
    </w:r>
    <w:r>
      <w:instrText xml:space="preserve"> PAGE   \* MERGEFORMAT </w:instrText>
    </w:r>
    <w:r>
      <w:fldChar w:fldCharType="separate"/>
    </w:r>
    <w:r>
      <w:t>16</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00771"/>
    <w:rsid w:val="00001B64"/>
    <w:rsid w:val="00002C4F"/>
    <w:rsid w:val="00006442"/>
    <w:rsid w:val="00006486"/>
    <w:rsid w:val="00007F71"/>
    <w:rsid w:val="00010500"/>
    <w:rsid w:val="0001063C"/>
    <w:rsid w:val="00013B27"/>
    <w:rsid w:val="00014067"/>
    <w:rsid w:val="000141CF"/>
    <w:rsid w:val="00014460"/>
    <w:rsid w:val="00015B6A"/>
    <w:rsid w:val="00015C01"/>
    <w:rsid w:val="00016D21"/>
    <w:rsid w:val="00017FEE"/>
    <w:rsid w:val="0002043F"/>
    <w:rsid w:val="0002198B"/>
    <w:rsid w:val="000230ED"/>
    <w:rsid w:val="000234D9"/>
    <w:rsid w:val="00023CC0"/>
    <w:rsid w:val="000240A3"/>
    <w:rsid w:val="00024BA4"/>
    <w:rsid w:val="00025D0D"/>
    <w:rsid w:val="0002614B"/>
    <w:rsid w:val="00026746"/>
    <w:rsid w:val="00026A9C"/>
    <w:rsid w:val="00030ABA"/>
    <w:rsid w:val="00030D4D"/>
    <w:rsid w:val="000319C7"/>
    <w:rsid w:val="00031E3D"/>
    <w:rsid w:val="000320E8"/>
    <w:rsid w:val="00032E8D"/>
    <w:rsid w:val="0003527C"/>
    <w:rsid w:val="0003595B"/>
    <w:rsid w:val="000369D0"/>
    <w:rsid w:val="00036C60"/>
    <w:rsid w:val="0003797B"/>
    <w:rsid w:val="00040A2B"/>
    <w:rsid w:val="00043A86"/>
    <w:rsid w:val="00043DF4"/>
    <w:rsid w:val="0004402D"/>
    <w:rsid w:val="000441A2"/>
    <w:rsid w:val="000450CB"/>
    <w:rsid w:val="00045484"/>
    <w:rsid w:val="00045F62"/>
    <w:rsid w:val="00046B09"/>
    <w:rsid w:val="00046DB9"/>
    <w:rsid w:val="00050523"/>
    <w:rsid w:val="00051118"/>
    <w:rsid w:val="000513DC"/>
    <w:rsid w:val="0005209E"/>
    <w:rsid w:val="000536ED"/>
    <w:rsid w:val="00053DC8"/>
    <w:rsid w:val="00054078"/>
    <w:rsid w:val="00054FE6"/>
    <w:rsid w:val="000554A6"/>
    <w:rsid w:val="000567AD"/>
    <w:rsid w:val="000568FA"/>
    <w:rsid w:val="00056AE8"/>
    <w:rsid w:val="00056E94"/>
    <w:rsid w:val="00057D68"/>
    <w:rsid w:val="00060009"/>
    <w:rsid w:val="000607B2"/>
    <w:rsid w:val="000608D7"/>
    <w:rsid w:val="00062162"/>
    <w:rsid w:val="00063043"/>
    <w:rsid w:val="00063588"/>
    <w:rsid w:val="000641A9"/>
    <w:rsid w:val="00064E48"/>
    <w:rsid w:val="000657A0"/>
    <w:rsid w:val="00065B61"/>
    <w:rsid w:val="000662D7"/>
    <w:rsid w:val="00067B86"/>
    <w:rsid w:val="00070FBD"/>
    <w:rsid w:val="0007253E"/>
    <w:rsid w:val="00072777"/>
    <w:rsid w:val="00072F29"/>
    <w:rsid w:val="0007360D"/>
    <w:rsid w:val="00075FB3"/>
    <w:rsid w:val="00076601"/>
    <w:rsid w:val="00076F86"/>
    <w:rsid w:val="00081B0A"/>
    <w:rsid w:val="00082193"/>
    <w:rsid w:val="0008392B"/>
    <w:rsid w:val="0008417F"/>
    <w:rsid w:val="00084C9C"/>
    <w:rsid w:val="0009026F"/>
    <w:rsid w:val="00090843"/>
    <w:rsid w:val="00092019"/>
    <w:rsid w:val="00092496"/>
    <w:rsid w:val="000928C9"/>
    <w:rsid w:val="00097A8A"/>
    <w:rsid w:val="00097CAD"/>
    <w:rsid w:val="000A1D8E"/>
    <w:rsid w:val="000A295B"/>
    <w:rsid w:val="000A30E4"/>
    <w:rsid w:val="000A4B0E"/>
    <w:rsid w:val="000A52E9"/>
    <w:rsid w:val="000A549F"/>
    <w:rsid w:val="000A59B6"/>
    <w:rsid w:val="000A5F48"/>
    <w:rsid w:val="000A6522"/>
    <w:rsid w:val="000A7022"/>
    <w:rsid w:val="000B130D"/>
    <w:rsid w:val="000B1389"/>
    <w:rsid w:val="000B1A7A"/>
    <w:rsid w:val="000B238D"/>
    <w:rsid w:val="000B2B3B"/>
    <w:rsid w:val="000B43CA"/>
    <w:rsid w:val="000B589F"/>
    <w:rsid w:val="000B5956"/>
    <w:rsid w:val="000B5E3E"/>
    <w:rsid w:val="000B645B"/>
    <w:rsid w:val="000C0002"/>
    <w:rsid w:val="000C23F9"/>
    <w:rsid w:val="000C24C9"/>
    <w:rsid w:val="000C3970"/>
    <w:rsid w:val="000C42B5"/>
    <w:rsid w:val="000C56AE"/>
    <w:rsid w:val="000C7057"/>
    <w:rsid w:val="000C719E"/>
    <w:rsid w:val="000C74C0"/>
    <w:rsid w:val="000D0F21"/>
    <w:rsid w:val="000D1908"/>
    <w:rsid w:val="000D1F5D"/>
    <w:rsid w:val="000D377E"/>
    <w:rsid w:val="000D3B9A"/>
    <w:rsid w:val="000D5DA5"/>
    <w:rsid w:val="000D72AB"/>
    <w:rsid w:val="000E0F76"/>
    <w:rsid w:val="000E3045"/>
    <w:rsid w:val="000E3B5F"/>
    <w:rsid w:val="000E48FC"/>
    <w:rsid w:val="000E4C4E"/>
    <w:rsid w:val="000E5D72"/>
    <w:rsid w:val="000E5FB0"/>
    <w:rsid w:val="000E6ECC"/>
    <w:rsid w:val="000E714E"/>
    <w:rsid w:val="000E7724"/>
    <w:rsid w:val="000F10D5"/>
    <w:rsid w:val="000F3E64"/>
    <w:rsid w:val="000F5D79"/>
    <w:rsid w:val="000F660F"/>
    <w:rsid w:val="000F673C"/>
    <w:rsid w:val="0010053E"/>
    <w:rsid w:val="00100DE3"/>
    <w:rsid w:val="00100F1F"/>
    <w:rsid w:val="00101E6B"/>
    <w:rsid w:val="00102BAC"/>
    <w:rsid w:val="00103EF1"/>
    <w:rsid w:val="0010404D"/>
    <w:rsid w:val="00105B3C"/>
    <w:rsid w:val="00106F42"/>
    <w:rsid w:val="0011033E"/>
    <w:rsid w:val="001106CE"/>
    <w:rsid w:val="0011088A"/>
    <w:rsid w:val="0011268F"/>
    <w:rsid w:val="00112C62"/>
    <w:rsid w:val="00113DE8"/>
    <w:rsid w:val="00113E02"/>
    <w:rsid w:val="00116D5F"/>
    <w:rsid w:val="0011769D"/>
    <w:rsid w:val="00122266"/>
    <w:rsid w:val="001222EB"/>
    <w:rsid w:val="0012275E"/>
    <w:rsid w:val="001229C6"/>
    <w:rsid w:val="00122E49"/>
    <w:rsid w:val="00123EAA"/>
    <w:rsid w:val="00124511"/>
    <w:rsid w:val="00124F39"/>
    <w:rsid w:val="00125442"/>
    <w:rsid w:val="00126432"/>
    <w:rsid w:val="001271A8"/>
    <w:rsid w:val="0013005E"/>
    <w:rsid w:val="001308A6"/>
    <w:rsid w:val="00131E67"/>
    <w:rsid w:val="00131ED3"/>
    <w:rsid w:val="00132613"/>
    <w:rsid w:val="001328B5"/>
    <w:rsid w:val="0013314F"/>
    <w:rsid w:val="00133479"/>
    <w:rsid w:val="00133567"/>
    <w:rsid w:val="00134179"/>
    <w:rsid w:val="00134880"/>
    <w:rsid w:val="00134FB6"/>
    <w:rsid w:val="00135481"/>
    <w:rsid w:val="00136641"/>
    <w:rsid w:val="00136860"/>
    <w:rsid w:val="00136EE8"/>
    <w:rsid w:val="00137BF1"/>
    <w:rsid w:val="00141AB1"/>
    <w:rsid w:val="00142311"/>
    <w:rsid w:val="00143339"/>
    <w:rsid w:val="0014420D"/>
    <w:rsid w:val="00144D03"/>
    <w:rsid w:val="00145587"/>
    <w:rsid w:val="001513D8"/>
    <w:rsid w:val="00152F37"/>
    <w:rsid w:val="001530C7"/>
    <w:rsid w:val="00153AB9"/>
    <w:rsid w:val="00153C6E"/>
    <w:rsid w:val="00154FF9"/>
    <w:rsid w:val="0015585B"/>
    <w:rsid w:val="00156B1B"/>
    <w:rsid w:val="00161951"/>
    <w:rsid w:val="00162A91"/>
    <w:rsid w:val="00162FC8"/>
    <w:rsid w:val="001630A6"/>
    <w:rsid w:val="00163886"/>
    <w:rsid w:val="00164219"/>
    <w:rsid w:val="00165FE9"/>
    <w:rsid w:val="00166A0F"/>
    <w:rsid w:val="00166DDD"/>
    <w:rsid w:val="001671BB"/>
    <w:rsid w:val="00167643"/>
    <w:rsid w:val="00167A74"/>
    <w:rsid w:val="001710D6"/>
    <w:rsid w:val="00172A27"/>
    <w:rsid w:val="00173F66"/>
    <w:rsid w:val="0017467D"/>
    <w:rsid w:val="001746D2"/>
    <w:rsid w:val="00174C06"/>
    <w:rsid w:val="00175AC1"/>
    <w:rsid w:val="001772D1"/>
    <w:rsid w:val="00180A5A"/>
    <w:rsid w:val="0018120B"/>
    <w:rsid w:val="001817E1"/>
    <w:rsid w:val="00182A61"/>
    <w:rsid w:val="00182FFD"/>
    <w:rsid w:val="00183B6F"/>
    <w:rsid w:val="00183D30"/>
    <w:rsid w:val="00184753"/>
    <w:rsid w:val="00186343"/>
    <w:rsid w:val="00187F7E"/>
    <w:rsid w:val="00187FA2"/>
    <w:rsid w:val="001907C4"/>
    <w:rsid w:val="001912B1"/>
    <w:rsid w:val="00191C1F"/>
    <w:rsid w:val="00191FF7"/>
    <w:rsid w:val="001922E7"/>
    <w:rsid w:val="001929B8"/>
    <w:rsid w:val="00192B7C"/>
    <w:rsid w:val="0019339D"/>
    <w:rsid w:val="00193DDE"/>
    <w:rsid w:val="0019495F"/>
    <w:rsid w:val="00194B23"/>
    <w:rsid w:val="00197126"/>
    <w:rsid w:val="00197A9C"/>
    <w:rsid w:val="00197DD0"/>
    <w:rsid w:val="001A0615"/>
    <w:rsid w:val="001A0782"/>
    <w:rsid w:val="001A0BE3"/>
    <w:rsid w:val="001A27F0"/>
    <w:rsid w:val="001A417F"/>
    <w:rsid w:val="001A4329"/>
    <w:rsid w:val="001A4E08"/>
    <w:rsid w:val="001A5098"/>
    <w:rsid w:val="001A7D5A"/>
    <w:rsid w:val="001B04CE"/>
    <w:rsid w:val="001B05A3"/>
    <w:rsid w:val="001B29E9"/>
    <w:rsid w:val="001B38B2"/>
    <w:rsid w:val="001B404B"/>
    <w:rsid w:val="001B4570"/>
    <w:rsid w:val="001B4EDD"/>
    <w:rsid w:val="001B5686"/>
    <w:rsid w:val="001B59B4"/>
    <w:rsid w:val="001B5F04"/>
    <w:rsid w:val="001B6452"/>
    <w:rsid w:val="001B76CC"/>
    <w:rsid w:val="001C1376"/>
    <w:rsid w:val="001C2228"/>
    <w:rsid w:val="001C291B"/>
    <w:rsid w:val="001C37AC"/>
    <w:rsid w:val="001C46AE"/>
    <w:rsid w:val="001C4CDD"/>
    <w:rsid w:val="001C55A9"/>
    <w:rsid w:val="001C5FE8"/>
    <w:rsid w:val="001C60B5"/>
    <w:rsid w:val="001C70B4"/>
    <w:rsid w:val="001C7542"/>
    <w:rsid w:val="001D045A"/>
    <w:rsid w:val="001D0B0D"/>
    <w:rsid w:val="001D119A"/>
    <w:rsid w:val="001D1413"/>
    <w:rsid w:val="001D1C79"/>
    <w:rsid w:val="001D1CAB"/>
    <w:rsid w:val="001D4372"/>
    <w:rsid w:val="001D4A7A"/>
    <w:rsid w:val="001D5A47"/>
    <w:rsid w:val="001D5B11"/>
    <w:rsid w:val="001D5D2F"/>
    <w:rsid w:val="001D5D8B"/>
    <w:rsid w:val="001D6F19"/>
    <w:rsid w:val="001E0943"/>
    <w:rsid w:val="001E20A0"/>
    <w:rsid w:val="001E2538"/>
    <w:rsid w:val="001E3EC1"/>
    <w:rsid w:val="001E5099"/>
    <w:rsid w:val="001E615A"/>
    <w:rsid w:val="001E68C7"/>
    <w:rsid w:val="001E78D5"/>
    <w:rsid w:val="001E7DAE"/>
    <w:rsid w:val="001F0A0F"/>
    <w:rsid w:val="001F0A58"/>
    <w:rsid w:val="001F2294"/>
    <w:rsid w:val="001F24B0"/>
    <w:rsid w:val="001F2C67"/>
    <w:rsid w:val="001F444C"/>
    <w:rsid w:val="001F4609"/>
    <w:rsid w:val="001F4E12"/>
    <w:rsid w:val="001F5E54"/>
    <w:rsid w:val="001F6381"/>
    <w:rsid w:val="001F7108"/>
    <w:rsid w:val="001F7296"/>
    <w:rsid w:val="0020093C"/>
    <w:rsid w:val="00202351"/>
    <w:rsid w:val="0020249D"/>
    <w:rsid w:val="00202AA0"/>
    <w:rsid w:val="00203057"/>
    <w:rsid w:val="00203399"/>
    <w:rsid w:val="00204C58"/>
    <w:rsid w:val="00205D62"/>
    <w:rsid w:val="00206067"/>
    <w:rsid w:val="00207D33"/>
    <w:rsid w:val="00211A04"/>
    <w:rsid w:val="00214063"/>
    <w:rsid w:val="00214823"/>
    <w:rsid w:val="00214A5D"/>
    <w:rsid w:val="00215125"/>
    <w:rsid w:val="00215981"/>
    <w:rsid w:val="00215FF3"/>
    <w:rsid w:val="0021633D"/>
    <w:rsid w:val="00217E05"/>
    <w:rsid w:val="002219A8"/>
    <w:rsid w:val="00221CE9"/>
    <w:rsid w:val="00222322"/>
    <w:rsid w:val="002242D6"/>
    <w:rsid w:val="00224A0A"/>
    <w:rsid w:val="00224B9C"/>
    <w:rsid w:val="002271E9"/>
    <w:rsid w:val="002274F1"/>
    <w:rsid w:val="00227994"/>
    <w:rsid w:val="00227D3E"/>
    <w:rsid w:val="00233059"/>
    <w:rsid w:val="00233784"/>
    <w:rsid w:val="00233891"/>
    <w:rsid w:val="002338CF"/>
    <w:rsid w:val="00237088"/>
    <w:rsid w:val="002374F3"/>
    <w:rsid w:val="00237DDE"/>
    <w:rsid w:val="00240B9C"/>
    <w:rsid w:val="00240DE6"/>
    <w:rsid w:val="00241123"/>
    <w:rsid w:val="00241A03"/>
    <w:rsid w:val="00241D51"/>
    <w:rsid w:val="00242011"/>
    <w:rsid w:val="002443C7"/>
    <w:rsid w:val="00244AE1"/>
    <w:rsid w:val="00245051"/>
    <w:rsid w:val="002460B9"/>
    <w:rsid w:val="00246938"/>
    <w:rsid w:val="00246C9C"/>
    <w:rsid w:val="0025016C"/>
    <w:rsid w:val="002508CA"/>
    <w:rsid w:val="00250D5E"/>
    <w:rsid w:val="0025306A"/>
    <w:rsid w:val="00253410"/>
    <w:rsid w:val="00253988"/>
    <w:rsid w:val="00253A91"/>
    <w:rsid w:val="002547F9"/>
    <w:rsid w:val="002563A6"/>
    <w:rsid w:val="00256B92"/>
    <w:rsid w:val="002579AF"/>
    <w:rsid w:val="0026009E"/>
    <w:rsid w:val="0026044A"/>
    <w:rsid w:val="00260D8B"/>
    <w:rsid w:val="002612D8"/>
    <w:rsid w:val="00262373"/>
    <w:rsid w:val="00262FB8"/>
    <w:rsid w:val="00263C35"/>
    <w:rsid w:val="00264B57"/>
    <w:rsid w:val="00264B7D"/>
    <w:rsid w:val="00265AC0"/>
    <w:rsid w:val="002664EC"/>
    <w:rsid w:val="00266B57"/>
    <w:rsid w:val="0026744E"/>
    <w:rsid w:val="00270137"/>
    <w:rsid w:val="00270520"/>
    <w:rsid w:val="00270547"/>
    <w:rsid w:val="00270F1F"/>
    <w:rsid w:val="002710A8"/>
    <w:rsid w:val="00275298"/>
    <w:rsid w:val="00276800"/>
    <w:rsid w:val="00276FCD"/>
    <w:rsid w:val="0028223D"/>
    <w:rsid w:val="00282760"/>
    <w:rsid w:val="002846D2"/>
    <w:rsid w:val="002849E8"/>
    <w:rsid w:val="00284D51"/>
    <w:rsid w:val="00285382"/>
    <w:rsid w:val="002871AD"/>
    <w:rsid w:val="002908EC"/>
    <w:rsid w:val="00290971"/>
    <w:rsid w:val="00290EF9"/>
    <w:rsid w:val="00291AA5"/>
    <w:rsid w:val="002931B2"/>
    <w:rsid w:val="002936F2"/>
    <w:rsid w:val="002944BA"/>
    <w:rsid w:val="00294D6F"/>
    <w:rsid w:val="00295A1E"/>
    <w:rsid w:val="0029619E"/>
    <w:rsid w:val="00296E49"/>
    <w:rsid w:val="00296FE8"/>
    <w:rsid w:val="002A12F4"/>
    <w:rsid w:val="002A17E2"/>
    <w:rsid w:val="002A252D"/>
    <w:rsid w:val="002A52EC"/>
    <w:rsid w:val="002A59D6"/>
    <w:rsid w:val="002A68C5"/>
    <w:rsid w:val="002A782D"/>
    <w:rsid w:val="002B0AD2"/>
    <w:rsid w:val="002B1291"/>
    <w:rsid w:val="002B169A"/>
    <w:rsid w:val="002B1791"/>
    <w:rsid w:val="002B30AD"/>
    <w:rsid w:val="002B4016"/>
    <w:rsid w:val="002B4344"/>
    <w:rsid w:val="002B43F2"/>
    <w:rsid w:val="002B524F"/>
    <w:rsid w:val="002B6E8F"/>
    <w:rsid w:val="002B7017"/>
    <w:rsid w:val="002B7967"/>
    <w:rsid w:val="002C0316"/>
    <w:rsid w:val="002C13E0"/>
    <w:rsid w:val="002C16A9"/>
    <w:rsid w:val="002C17F6"/>
    <w:rsid w:val="002C1975"/>
    <w:rsid w:val="002C1CBF"/>
    <w:rsid w:val="002C3FF4"/>
    <w:rsid w:val="002C4426"/>
    <w:rsid w:val="002C4567"/>
    <w:rsid w:val="002C5A82"/>
    <w:rsid w:val="002C62D2"/>
    <w:rsid w:val="002C6C22"/>
    <w:rsid w:val="002C6E6E"/>
    <w:rsid w:val="002D0F85"/>
    <w:rsid w:val="002D3CD4"/>
    <w:rsid w:val="002D668F"/>
    <w:rsid w:val="002D6C9E"/>
    <w:rsid w:val="002E20BC"/>
    <w:rsid w:val="002E4096"/>
    <w:rsid w:val="002E43A7"/>
    <w:rsid w:val="002E4ABF"/>
    <w:rsid w:val="002E5F50"/>
    <w:rsid w:val="002F12BC"/>
    <w:rsid w:val="002F1389"/>
    <w:rsid w:val="002F169D"/>
    <w:rsid w:val="002F2E90"/>
    <w:rsid w:val="002F37F4"/>
    <w:rsid w:val="002F51E8"/>
    <w:rsid w:val="002F5668"/>
    <w:rsid w:val="002F5B56"/>
    <w:rsid w:val="00301FEC"/>
    <w:rsid w:val="00302341"/>
    <w:rsid w:val="003025F9"/>
    <w:rsid w:val="00302AF5"/>
    <w:rsid w:val="0030495C"/>
    <w:rsid w:val="00304D97"/>
    <w:rsid w:val="00304F09"/>
    <w:rsid w:val="00305C58"/>
    <w:rsid w:val="00306132"/>
    <w:rsid w:val="003064CE"/>
    <w:rsid w:val="0030661E"/>
    <w:rsid w:val="0030697E"/>
    <w:rsid w:val="00306C1F"/>
    <w:rsid w:val="003071F5"/>
    <w:rsid w:val="003075B1"/>
    <w:rsid w:val="00307F97"/>
    <w:rsid w:val="0031078B"/>
    <w:rsid w:val="0031195B"/>
    <w:rsid w:val="00311D86"/>
    <w:rsid w:val="00311E0B"/>
    <w:rsid w:val="0031278D"/>
    <w:rsid w:val="00312BC4"/>
    <w:rsid w:val="003132D6"/>
    <w:rsid w:val="003137A5"/>
    <w:rsid w:val="003144C7"/>
    <w:rsid w:val="00314ACD"/>
    <w:rsid w:val="00315B1F"/>
    <w:rsid w:val="00315D44"/>
    <w:rsid w:val="0031709C"/>
    <w:rsid w:val="00320C06"/>
    <w:rsid w:val="00320F0F"/>
    <w:rsid w:val="00320F6F"/>
    <w:rsid w:val="0032225D"/>
    <w:rsid w:val="00323926"/>
    <w:rsid w:val="00323A03"/>
    <w:rsid w:val="00324712"/>
    <w:rsid w:val="00324904"/>
    <w:rsid w:val="00324A01"/>
    <w:rsid w:val="003259C3"/>
    <w:rsid w:val="003268B7"/>
    <w:rsid w:val="00326C25"/>
    <w:rsid w:val="00330807"/>
    <w:rsid w:val="00332396"/>
    <w:rsid w:val="003325AA"/>
    <w:rsid w:val="00334DB7"/>
    <w:rsid w:val="00336FF3"/>
    <w:rsid w:val="0033753A"/>
    <w:rsid w:val="003378DE"/>
    <w:rsid w:val="00337E01"/>
    <w:rsid w:val="00337F40"/>
    <w:rsid w:val="00340440"/>
    <w:rsid w:val="00340A74"/>
    <w:rsid w:val="00340FA3"/>
    <w:rsid w:val="00341D9A"/>
    <w:rsid w:val="00342C4A"/>
    <w:rsid w:val="00345647"/>
    <w:rsid w:val="00346120"/>
    <w:rsid w:val="0034638B"/>
    <w:rsid w:val="0034684B"/>
    <w:rsid w:val="00346EBB"/>
    <w:rsid w:val="00347980"/>
    <w:rsid w:val="00347A39"/>
    <w:rsid w:val="00350722"/>
    <w:rsid w:val="0035077B"/>
    <w:rsid w:val="00351030"/>
    <w:rsid w:val="0035149C"/>
    <w:rsid w:val="0035278F"/>
    <w:rsid w:val="00353CE0"/>
    <w:rsid w:val="00353E7D"/>
    <w:rsid w:val="0035428C"/>
    <w:rsid w:val="00354D10"/>
    <w:rsid w:val="003553F0"/>
    <w:rsid w:val="00356872"/>
    <w:rsid w:val="003608B1"/>
    <w:rsid w:val="003611DD"/>
    <w:rsid w:val="003617BA"/>
    <w:rsid w:val="00361BDF"/>
    <w:rsid w:val="00361CEC"/>
    <w:rsid w:val="003640A3"/>
    <w:rsid w:val="00364764"/>
    <w:rsid w:val="00364CA4"/>
    <w:rsid w:val="003651D5"/>
    <w:rsid w:val="00366929"/>
    <w:rsid w:val="003718E7"/>
    <w:rsid w:val="00371D81"/>
    <w:rsid w:val="0037319F"/>
    <w:rsid w:val="00373D6F"/>
    <w:rsid w:val="00374EDC"/>
    <w:rsid w:val="003763E0"/>
    <w:rsid w:val="003769AD"/>
    <w:rsid w:val="0037700B"/>
    <w:rsid w:val="00380F74"/>
    <w:rsid w:val="00383690"/>
    <w:rsid w:val="00383B1F"/>
    <w:rsid w:val="00383B23"/>
    <w:rsid w:val="00384A7B"/>
    <w:rsid w:val="003850C5"/>
    <w:rsid w:val="00385B33"/>
    <w:rsid w:val="00385B65"/>
    <w:rsid w:val="00385BEC"/>
    <w:rsid w:val="00385C5E"/>
    <w:rsid w:val="00387119"/>
    <w:rsid w:val="003871AE"/>
    <w:rsid w:val="00387544"/>
    <w:rsid w:val="00387DEC"/>
    <w:rsid w:val="003907C8"/>
    <w:rsid w:val="00390CA9"/>
    <w:rsid w:val="00390F17"/>
    <w:rsid w:val="003929E3"/>
    <w:rsid w:val="00394BA5"/>
    <w:rsid w:val="003A1017"/>
    <w:rsid w:val="003A14F7"/>
    <w:rsid w:val="003A25DB"/>
    <w:rsid w:val="003A4479"/>
    <w:rsid w:val="003A4AE9"/>
    <w:rsid w:val="003A4B0E"/>
    <w:rsid w:val="003A61FE"/>
    <w:rsid w:val="003A63E4"/>
    <w:rsid w:val="003B13C3"/>
    <w:rsid w:val="003B4DA5"/>
    <w:rsid w:val="003B6643"/>
    <w:rsid w:val="003B6963"/>
    <w:rsid w:val="003B6B96"/>
    <w:rsid w:val="003B6D19"/>
    <w:rsid w:val="003B74B3"/>
    <w:rsid w:val="003C2E9B"/>
    <w:rsid w:val="003C31B1"/>
    <w:rsid w:val="003C421B"/>
    <w:rsid w:val="003C4B22"/>
    <w:rsid w:val="003C4EF2"/>
    <w:rsid w:val="003C561D"/>
    <w:rsid w:val="003C6850"/>
    <w:rsid w:val="003C7F97"/>
    <w:rsid w:val="003C7FFC"/>
    <w:rsid w:val="003D0320"/>
    <w:rsid w:val="003D1100"/>
    <w:rsid w:val="003D2B0B"/>
    <w:rsid w:val="003D5C61"/>
    <w:rsid w:val="003D69BE"/>
    <w:rsid w:val="003D795B"/>
    <w:rsid w:val="003E0584"/>
    <w:rsid w:val="003E08DD"/>
    <w:rsid w:val="003E1853"/>
    <w:rsid w:val="003E2494"/>
    <w:rsid w:val="003E26F1"/>
    <w:rsid w:val="003E2AE7"/>
    <w:rsid w:val="003E3D61"/>
    <w:rsid w:val="003E405E"/>
    <w:rsid w:val="003E6897"/>
    <w:rsid w:val="003F1494"/>
    <w:rsid w:val="003F309D"/>
    <w:rsid w:val="003F361F"/>
    <w:rsid w:val="003F4AF0"/>
    <w:rsid w:val="004016B9"/>
    <w:rsid w:val="00401AB4"/>
    <w:rsid w:val="00401DCC"/>
    <w:rsid w:val="00402928"/>
    <w:rsid w:val="004029E6"/>
    <w:rsid w:val="00403381"/>
    <w:rsid w:val="00403A1C"/>
    <w:rsid w:val="00404B53"/>
    <w:rsid w:val="00404C37"/>
    <w:rsid w:val="00404E07"/>
    <w:rsid w:val="0040552C"/>
    <w:rsid w:val="0040560C"/>
    <w:rsid w:val="00405B69"/>
    <w:rsid w:val="00406E56"/>
    <w:rsid w:val="00407EE2"/>
    <w:rsid w:val="004112E1"/>
    <w:rsid w:val="00411A77"/>
    <w:rsid w:val="00411EAC"/>
    <w:rsid w:val="00412582"/>
    <w:rsid w:val="004125AE"/>
    <w:rsid w:val="00412E84"/>
    <w:rsid w:val="00413A87"/>
    <w:rsid w:val="00413BE6"/>
    <w:rsid w:val="0041440A"/>
    <w:rsid w:val="00414866"/>
    <w:rsid w:val="00415D25"/>
    <w:rsid w:val="00420067"/>
    <w:rsid w:val="00420D95"/>
    <w:rsid w:val="00420DD7"/>
    <w:rsid w:val="00420E0B"/>
    <w:rsid w:val="00421A33"/>
    <w:rsid w:val="00422644"/>
    <w:rsid w:val="00423AC0"/>
    <w:rsid w:val="00423C31"/>
    <w:rsid w:val="004253F7"/>
    <w:rsid w:val="004257A9"/>
    <w:rsid w:val="00426100"/>
    <w:rsid w:val="004278DA"/>
    <w:rsid w:val="00427DA1"/>
    <w:rsid w:val="00430462"/>
    <w:rsid w:val="00430D94"/>
    <w:rsid w:val="00430DDB"/>
    <w:rsid w:val="00431DD7"/>
    <w:rsid w:val="00432520"/>
    <w:rsid w:val="00433497"/>
    <w:rsid w:val="00433947"/>
    <w:rsid w:val="00433995"/>
    <w:rsid w:val="00437C77"/>
    <w:rsid w:val="004406DB"/>
    <w:rsid w:val="004410B3"/>
    <w:rsid w:val="004412BD"/>
    <w:rsid w:val="0044196D"/>
    <w:rsid w:val="00443402"/>
    <w:rsid w:val="00443DD0"/>
    <w:rsid w:val="00445401"/>
    <w:rsid w:val="00445B59"/>
    <w:rsid w:val="004465E8"/>
    <w:rsid w:val="00446B11"/>
    <w:rsid w:val="00450E68"/>
    <w:rsid w:val="00451165"/>
    <w:rsid w:val="004525F4"/>
    <w:rsid w:val="0045353F"/>
    <w:rsid w:val="004548EB"/>
    <w:rsid w:val="004552DF"/>
    <w:rsid w:val="00456218"/>
    <w:rsid w:val="00456537"/>
    <w:rsid w:val="00456553"/>
    <w:rsid w:val="00456B08"/>
    <w:rsid w:val="004618F3"/>
    <w:rsid w:val="00461BB0"/>
    <w:rsid w:val="0046214E"/>
    <w:rsid w:val="00462702"/>
    <w:rsid w:val="00462A1D"/>
    <w:rsid w:val="00463023"/>
    <w:rsid w:val="0046328F"/>
    <w:rsid w:val="004632B7"/>
    <w:rsid w:val="0046399B"/>
    <w:rsid w:val="004643EF"/>
    <w:rsid w:val="00464EB7"/>
    <w:rsid w:val="00465BFF"/>
    <w:rsid w:val="00465C96"/>
    <w:rsid w:val="004665D1"/>
    <w:rsid w:val="00466EEC"/>
    <w:rsid w:val="00470E83"/>
    <w:rsid w:val="00472C5B"/>
    <w:rsid w:val="0047303D"/>
    <w:rsid w:val="00475049"/>
    <w:rsid w:val="00475387"/>
    <w:rsid w:val="00476173"/>
    <w:rsid w:val="00477204"/>
    <w:rsid w:val="00480689"/>
    <w:rsid w:val="00481BE7"/>
    <w:rsid w:val="00482178"/>
    <w:rsid w:val="00482B38"/>
    <w:rsid w:val="00482BE6"/>
    <w:rsid w:val="00482E47"/>
    <w:rsid w:val="0048392E"/>
    <w:rsid w:val="00484555"/>
    <w:rsid w:val="00490AD5"/>
    <w:rsid w:val="0049169B"/>
    <w:rsid w:val="004923F4"/>
    <w:rsid w:val="004931CB"/>
    <w:rsid w:val="00494287"/>
    <w:rsid w:val="00495179"/>
    <w:rsid w:val="004967E6"/>
    <w:rsid w:val="004976D6"/>
    <w:rsid w:val="004A037E"/>
    <w:rsid w:val="004A1D45"/>
    <w:rsid w:val="004A1ECC"/>
    <w:rsid w:val="004A4022"/>
    <w:rsid w:val="004A40DC"/>
    <w:rsid w:val="004A42C7"/>
    <w:rsid w:val="004A4A52"/>
    <w:rsid w:val="004A4B46"/>
    <w:rsid w:val="004A5472"/>
    <w:rsid w:val="004A6023"/>
    <w:rsid w:val="004A7078"/>
    <w:rsid w:val="004B04F8"/>
    <w:rsid w:val="004B0512"/>
    <w:rsid w:val="004B0F16"/>
    <w:rsid w:val="004B120E"/>
    <w:rsid w:val="004B15C6"/>
    <w:rsid w:val="004B1ACC"/>
    <w:rsid w:val="004B246A"/>
    <w:rsid w:val="004B2EC7"/>
    <w:rsid w:val="004B3287"/>
    <w:rsid w:val="004B37B5"/>
    <w:rsid w:val="004B3D18"/>
    <w:rsid w:val="004B54B6"/>
    <w:rsid w:val="004B6DCC"/>
    <w:rsid w:val="004C00DB"/>
    <w:rsid w:val="004C02D1"/>
    <w:rsid w:val="004C0918"/>
    <w:rsid w:val="004C2747"/>
    <w:rsid w:val="004C2C1A"/>
    <w:rsid w:val="004C2E4C"/>
    <w:rsid w:val="004C3A62"/>
    <w:rsid w:val="004C3B31"/>
    <w:rsid w:val="004C4E61"/>
    <w:rsid w:val="004C5BFA"/>
    <w:rsid w:val="004C6300"/>
    <w:rsid w:val="004C7988"/>
    <w:rsid w:val="004C7DDA"/>
    <w:rsid w:val="004D0086"/>
    <w:rsid w:val="004D18E3"/>
    <w:rsid w:val="004D1E9C"/>
    <w:rsid w:val="004D2029"/>
    <w:rsid w:val="004D2C2B"/>
    <w:rsid w:val="004D3160"/>
    <w:rsid w:val="004D3370"/>
    <w:rsid w:val="004D352A"/>
    <w:rsid w:val="004D3AF9"/>
    <w:rsid w:val="004D44FB"/>
    <w:rsid w:val="004D5163"/>
    <w:rsid w:val="004D5796"/>
    <w:rsid w:val="004D6303"/>
    <w:rsid w:val="004D6CBE"/>
    <w:rsid w:val="004E0620"/>
    <w:rsid w:val="004E14A2"/>
    <w:rsid w:val="004E1EDA"/>
    <w:rsid w:val="004E207C"/>
    <w:rsid w:val="004E29F3"/>
    <w:rsid w:val="004E3D8F"/>
    <w:rsid w:val="004E3FFB"/>
    <w:rsid w:val="004E6F11"/>
    <w:rsid w:val="004E7D8C"/>
    <w:rsid w:val="004F0337"/>
    <w:rsid w:val="004F104F"/>
    <w:rsid w:val="004F178A"/>
    <w:rsid w:val="004F5065"/>
    <w:rsid w:val="00500598"/>
    <w:rsid w:val="00500F96"/>
    <w:rsid w:val="005024F4"/>
    <w:rsid w:val="00502DA5"/>
    <w:rsid w:val="0050303D"/>
    <w:rsid w:val="005030AE"/>
    <w:rsid w:val="00503938"/>
    <w:rsid w:val="00505845"/>
    <w:rsid w:val="00505F20"/>
    <w:rsid w:val="0050690C"/>
    <w:rsid w:val="00507F20"/>
    <w:rsid w:val="00511670"/>
    <w:rsid w:val="00511D62"/>
    <w:rsid w:val="00512028"/>
    <w:rsid w:val="00516791"/>
    <w:rsid w:val="00517290"/>
    <w:rsid w:val="005200C9"/>
    <w:rsid w:val="00521195"/>
    <w:rsid w:val="00521618"/>
    <w:rsid w:val="00521CE6"/>
    <w:rsid w:val="00522580"/>
    <w:rsid w:val="00523941"/>
    <w:rsid w:val="00523DD8"/>
    <w:rsid w:val="005242DD"/>
    <w:rsid w:val="00525F14"/>
    <w:rsid w:val="0052757D"/>
    <w:rsid w:val="00530271"/>
    <w:rsid w:val="00530A06"/>
    <w:rsid w:val="00530B07"/>
    <w:rsid w:val="005337A5"/>
    <w:rsid w:val="00534C86"/>
    <w:rsid w:val="005355B5"/>
    <w:rsid w:val="00536421"/>
    <w:rsid w:val="005364CE"/>
    <w:rsid w:val="00537ECC"/>
    <w:rsid w:val="00540E14"/>
    <w:rsid w:val="00540E70"/>
    <w:rsid w:val="00541540"/>
    <w:rsid w:val="005423AB"/>
    <w:rsid w:val="00542963"/>
    <w:rsid w:val="00543937"/>
    <w:rsid w:val="005464B9"/>
    <w:rsid w:val="005475C0"/>
    <w:rsid w:val="00547C01"/>
    <w:rsid w:val="005510FF"/>
    <w:rsid w:val="005526D3"/>
    <w:rsid w:val="00552E5A"/>
    <w:rsid w:val="00553A7E"/>
    <w:rsid w:val="005552F9"/>
    <w:rsid w:val="005556FF"/>
    <w:rsid w:val="00555E47"/>
    <w:rsid w:val="00556216"/>
    <w:rsid w:val="00557097"/>
    <w:rsid w:val="00557194"/>
    <w:rsid w:val="005572D4"/>
    <w:rsid w:val="0055784B"/>
    <w:rsid w:val="005600AA"/>
    <w:rsid w:val="005610A2"/>
    <w:rsid w:val="005633D6"/>
    <w:rsid w:val="00563877"/>
    <w:rsid w:val="00564424"/>
    <w:rsid w:val="005650A7"/>
    <w:rsid w:val="0056561C"/>
    <w:rsid w:val="005669F3"/>
    <w:rsid w:val="005670E6"/>
    <w:rsid w:val="00567556"/>
    <w:rsid w:val="00567B57"/>
    <w:rsid w:val="0057135C"/>
    <w:rsid w:val="0057228A"/>
    <w:rsid w:val="00572848"/>
    <w:rsid w:val="00572C00"/>
    <w:rsid w:val="00572D55"/>
    <w:rsid w:val="005738CE"/>
    <w:rsid w:val="00574F64"/>
    <w:rsid w:val="00575894"/>
    <w:rsid w:val="005759CA"/>
    <w:rsid w:val="00576DEE"/>
    <w:rsid w:val="00576FD4"/>
    <w:rsid w:val="00577825"/>
    <w:rsid w:val="0057791C"/>
    <w:rsid w:val="00577FFB"/>
    <w:rsid w:val="00583CE1"/>
    <w:rsid w:val="00584758"/>
    <w:rsid w:val="0058479E"/>
    <w:rsid w:val="00585670"/>
    <w:rsid w:val="00586405"/>
    <w:rsid w:val="00586589"/>
    <w:rsid w:val="00587FEB"/>
    <w:rsid w:val="00593FB2"/>
    <w:rsid w:val="00595B29"/>
    <w:rsid w:val="005975C9"/>
    <w:rsid w:val="00597B97"/>
    <w:rsid w:val="005A1618"/>
    <w:rsid w:val="005A1825"/>
    <w:rsid w:val="005A1F0E"/>
    <w:rsid w:val="005A2C9F"/>
    <w:rsid w:val="005A4619"/>
    <w:rsid w:val="005A5093"/>
    <w:rsid w:val="005A52B4"/>
    <w:rsid w:val="005A52E2"/>
    <w:rsid w:val="005A646C"/>
    <w:rsid w:val="005A6CE6"/>
    <w:rsid w:val="005A72DD"/>
    <w:rsid w:val="005B0D8A"/>
    <w:rsid w:val="005B0DBD"/>
    <w:rsid w:val="005B0DFB"/>
    <w:rsid w:val="005B14D7"/>
    <w:rsid w:val="005B1840"/>
    <w:rsid w:val="005B1A96"/>
    <w:rsid w:val="005B2BB4"/>
    <w:rsid w:val="005B3597"/>
    <w:rsid w:val="005B3851"/>
    <w:rsid w:val="005B480E"/>
    <w:rsid w:val="005B4A9F"/>
    <w:rsid w:val="005B4FCD"/>
    <w:rsid w:val="005B5E8D"/>
    <w:rsid w:val="005B7A43"/>
    <w:rsid w:val="005B7D80"/>
    <w:rsid w:val="005C0487"/>
    <w:rsid w:val="005C0F55"/>
    <w:rsid w:val="005C1999"/>
    <w:rsid w:val="005C282E"/>
    <w:rsid w:val="005C56DD"/>
    <w:rsid w:val="005C7E86"/>
    <w:rsid w:val="005D0BEE"/>
    <w:rsid w:val="005D1009"/>
    <w:rsid w:val="005D481F"/>
    <w:rsid w:val="005D486F"/>
    <w:rsid w:val="005D4DF6"/>
    <w:rsid w:val="005D5BAD"/>
    <w:rsid w:val="005D6258"/>
    <w:rsid w:val="005D68FB"/>
    <w:rsid w:val="005E028F"/>
    <w:rsid w:val="005E2926"/>
    <w:rsid w:val="005E29A7"/>
    <w:rsid w:val="005E46A4"/>
    <w:rsid w:val="005E4D82"/>
    <w:rsid w:val="005E5AA9"/>
    <w:rsid w:val="005E6BA6"/>
    <w:rsid w:val="005E6EE7"/>
    <w:rsid w:val="005E7C8B"/>
    <w:rsid w:val="005F098C"/>
    <w:rsid w:val="005F2956"/>
    <w:rsid w:val="005F2A54"/>
    <w:rsid w:val="005F2D58"/>
    <w:rsid w:val="005F4425"/>
    <w:rsid w:val="005F54D2"/>
    <w:rsid w:val="005F663C"/>
    <w:rsid w:val="005F7440"/>
    <w:rsid w:val="005F7614"/>
    <w:rsid w:val="00600B87"/>
    <w:rsid w:val="00601AC4"/>
    <w:rsid w:val="00602706"/>
    <w:rsid w:val="00602F86"/>
    <w:rsid w:val="0060350C"/>
    <w:rsid w:val="00603C99"/>
    <w:rsid w:val="00604353"/>
    <w:rsid w:val="006044F2"/>
    <w:rsid w:val="006048AB"/>
    <w:rsid w:val="0060593F"/>
    <w:rsid w:val="00606627"/>
    <w:rsid w:val="00606B89"/>
    <w:rsid w:val="006070D0"/>
    <w:rsid w:val="00607F8C"/>
    <w:rsid w:val="00610FEB"/>
    <w:rsid w:val="00612482"/>
    <w:rsid w:val="00612706"/>
    <w:rsid w:val="00612E78"/>
    <w:rsid w:val="00612ED8"/>
    <w:rsid w:val="006130BB"/>
    <w:rsid w:val="006139F0"/>
    <w:rsid w:val="00613A92"/>
    <w:rsid w:val="006143AC"/>
    <w:rsid w:val="0061444E"/>
    <w:rsid w:val="00614DB9"/>
    <w:rsid w:val="00614EFA"/>
    <w:rsid w:val="00614F44"/>
    <w:rsid w:val="0061566D"/>
    <w:rsid w:val="006159CC"/>
    <w:rsid w:val="00615A94"/>
    <w:rsid w:val="0061659B"/>
    <w:rsid w:val="006170DA"/>
    <w:rsid w:val="006204DE"/>
    <w:rsid w:val="00620AA0"/>
    <w:rsid w:val="006210E1"/>
    <w:rsid w:val="0062137D"/>
    <w:rsid w:val="00622567"/>
    <w:rsid w:val="006227CB"/>
    <w:rsid w:val="006249F4"/>
    <w:rsid w:val="00626208"/>
    <w:rsid w:val="00627D04"/>
    <w:rsid w:val="0063448E"/>
    <w:rsid w:val="006357E3"/>
    <w:rsid w:val="006366C7"/>
    <w:rsid w:val="00637862"/>
    <w:rsid w:val="0064177B"/>
    <w:rsid w:val="00641D42"/>
    <w:rsid w:val="0064315F"/>
    <w:rsid w:val="0064386B"/>
    <w:rsid w:val="00643C95"/>
    <w:rsid w:val="006442E4"/>
    <w:rsid w:val="00644D1A"/>
    <w:rsid w:val="00646271"/>
    <w:rsid w:val="00646705"/>
    <w:rsid w:val="00646DE4"/>
    <w:rsid w:val="00646DF3"/>
    <w:rsid w:val="00647963"/>
    <w:rsid w:val="00650473"/>
    <w:rsid w:val="00651678"/>
    <w:rsid w:val="00653418"/>
    <w:rsid w:val="0065375D"/>
    <w:rsid w:val="00653B16"/>
    <w:rsid w:val="00654A63"/>
    <w:rsid w:val="0065524A"/>
    <w:rsid w:val="0065526C"/>
    <w:rsid w:val="00655CC2"/>
    <w:rsid w:val="00656B11"/>
    <w:rsid w:val="00657B62"/>
    <w:rsid w:val="00660FA7"/>
    <w:rsid w:val="00661336"/>
    <w:rsid w:val="00662067"/>
    <w:rsid w:val="00662F52"/>
    <w:rsid w:val="006645AA"/>
    <w:rsid w:val="00664E0B"/>
    <w:rsid w:val="00665027"/>
    <w:rsid w:val="00666417"/>
    <w:rsid w:val="00666492"/>
    <w:rsid w:val="00667051"/>
    <w:rsid w:val="00667A59"/>
    <w:rsid w:val="00670190"/>
    <w:rsid w:val="0067042C"/>
    <w:rsid w:val="00670704"/>
    <w:rsid w:val="006717D5"/>
    <w:rsid w:val="00672765"/>
    <w:rsid w:val="00674254"/>
    <w:rsid w:val="00674A34"/>
    <w:rsid w:val="00675214"/>
    <w:rsid w:val="0067587F"/>
    <w:rsid w:val="006762BB"/>
    <w:rsid w:val="00677AA7"/>
    <w:rsid w:val="00677C72"/>
    <w:rsid w:val="00680642"/>
    <w:rsid w:val="00680715"/>
    <w:rsid w:val="006813D1"/>
    <w:rsid w:val="006819CA"/>
    <w:rsid w:val="006828CA"/>
    <w:rsid w:val="006833B5"/>
    <w:rsid w:val="00683883"/>
    <w:rsid w:val="0068607A"/>
    <w:rsid w:val="00687866"/>
    <w:rsid w:val="00687D86"/>
    <w:rsid w:val="0069382D"/>
    <w:rsid w:val="00694020"/>
    <w:rsid w:val="00694FC7"/>
    <w:rsid w:val="006954B3"/>
    <w:rsid w:val="00695BCF"/>
    <w:rsid w:val="0069694F"/>
    <w:rsid w:val="006A0562"/>
    <w:rsid w:val="006A2D3A"/>
    <w:rsid w:val="006A3451"/>
    <w:rsid w:val="006A49E4"/>
    <w:rsid w:val="006A56F9"/>
    <w:rsid w:val="006A5AF9"/>
    <w:rsid w:val="006A69F8"/>
    <w:rsid w:val="006B0A2B"/>
    <w:rsid w:val="006B135C"/>
    <w:rsid w:val="006B21FB"/>
    <w:rsid w:val="006B2532"/>
    <w:rsid w:val="006B2710"/>
    <w:rsid w:val="006B2CD3"/>
    <w:rsid w:val="006B3D74"/>
    <w:rsid w:val="006B7059"/>
    <w:rsid w:val="006C047F"/>
    <w:rsid w:val="006C094A"/>
    <w:rsid w:val="006C0CCF"/>
    <w:rsid w:val="006C53E5"/>
    <w:rsid w:val="006C625A"/>
    <w:rsid w:val="006C660B"/>
    <w:rsid w:val="006C68CE"/>
    <w:rsid w:val="006D26A3"/>
    <w:rsid w:val="006D2D1A"/>
    <w:rsid w:val="006D3842"/>
    <w:rsid w:val="006D3B37"/>
    <w:rsid w:val="006D4261"/>
    <w:rsid w:val="006D6B13"/>
    <w:rsid w:val="006D71BD"/>
    <w:rsid w:val="006D7B4F"/>
    <w:rsid w:val="006E0B8B"/>
    <w:rsid w:val="006E1162"/>
    <w:rsid w:val="006E2246"/>
    <w:rsid w:val="006E2ACC"/>
    <w:rsid w:val="006E3DA9"/>
    <w:rsid w:val="006E4150"/>
    <w:rsid w:val="006E44C4"/>
    <w:rsid w:val="006E5062"/>
    <w:rsid w:val="006E514C"/>
    <w:rsid w:val="006E5703"/>
    <w:rsid w:val="006E5E67"/>
    <w:rsid w:val="006E7C94"/>
    <w:rsid w:val="006E7CAE"/>
    <w:rsid w:val="006F0056"/>
    <w:rsid w:val="006F126A"/>
    <w:rsid w:val="006F25E2"/>
    <w:rsid w:val="006F2699"/>
    <w:rsid w:val="006F2781"/>
    <w:rsid w:val="006F2AE3"/>
    <w:rsid w:val="006F6CC1"/>
    <w:rsid w:val="00700698"/>
    <w:rsid w:val="00703389"/>
    <w:rsid w:val="007033B8"/>
    <w:rsid w:val="00703F19"/>
    <w:rsid w:val="00705FC8"/>
    <w:rsid w:val="007067E6"/>
    <w:rsid w:val="007068DD"/>
    <w:rsid w:val="007106BA"/>
    <w:rsid w:val="00710CFC"/>
    <w:rsid w:val="007146CA"/>
    <w:rsid w:val="00714909"/>
    <w:rsid w:val="00714B97"/>
    <w:rsid w:val="0071562A"/>
    <w:rsid w:val="007160F3"/>
    <w:rsid w:val="00716379"/>
    <w:rsid w:val="00716B18"/>
    <w:rsid w:val="007170E0"/>
    <w:rsid w:val="00717FA3"/>
    <w:rsid w:val="0072089D"/>
    <w:rsid w:val="00720C31"/>
    <w:rsid w:val="007210F7"/>
    <w:rsid w:val="0072137E"/>
    <w:rsid w:val="00722A73"/>
    <w:rsid w:val="00723AFD"/>
    <w:rsid w:val="00725086"/>
    <w:rsid w:val="0072577A"/>
    <w:rsid w:val="007277DE"/>
    <w:rsid w:val="00727AD7"/>
    <w:rsid w:val="007303F7"/>
    <w:rsid w:val="00731B4F"/>
    <w:rsid w:val="00732494"/>
    <w:rsid w:val="00732D1E"/>
    <w:rsid w:val="00732D71"/>
    <w:rsid w:val="00732FFF"/>
    <w:rsid w:val="0073306B"/>
    <w:rsid w:val="007332FF"/>
    <w:rsid w:val="00733722"/>
    <w:rsid w:val="00733B67"/>
    <w:rsid w:val="00735E0D"/>
    <w:rsid w:val="00736342"/>
    <w:rsid w:val="00740B70"/>
    <w:rsid w:val="00741E33"/>
    <w:rsid w:val="0074323F"/>
    <w:rsid w:val="0074335E"/>
    <w:rsid w:val="007433F0"/>
    <w:rsid w:val="007433FA"/>
    <w:rsid w:val="0074358F"/>
    <w:rsid w:val="00743E3C"/>
    <w:rsid w:val="00744411"/>
    <w:rsid w:val="00744DE5"/>
    <w:rsid w:val="00745743"/>
    <w:rsid w:val="0074622B"/>
    <w:rsid w:val="0074775F"/>
    <w:rsid w:val="007506C3"/>
    <w:rsid w:val="00751120"/>
    <w:rsid w:val="007517C7"/>
    <w:rsid w:val="007543A3"/>
    <w:rsid w:val="0075442C"/>
    <w:rsid w:val="007600A2"/>
    <w:rsid w:val="007607F0"/>
    <w:rsid w:val="00761BA4"/>
    <w:rsid w:val="00761C9E"/>
    <w:rsid w:val="00762B72"/>
    <w:rsid w:val="00764419"/>
    <w:rsid w:val="00765BE4"/>
    <w:rsid w:val="00766475"/>
    <w:rsid w:val="00766559"/>
    <w:rsid w:val="00766E09"/>
    <w:rsid w:val="00767910"/>
    <w:rsid w:val="00767A80"/>
    <w:rsid w:val="00770750"/>
    <w:rsid w:val="0077108B"/>
    <w:rsid w:val="0077135D"/>
    <w:rsid w:val="0077168A"/>
    <w:rsid w:val="0077168F"/>
    <w:rsid w:val="00773367"/>
    <w:rsid w:val="0077377B"/>
    <w:rsid w:val="007744EF"/>
    <w:rsid w:val="00774E9E"/>
    <w:rsid w:val="00775A1A"/>
    <w:rsid w:val="007769C2"/>
    <w:rsid w:val="00777BC3"/>
    <w:rsid w:val="00777F7C"/>
    <w:rsid w:val="007806A9"/>
    <w:rsid w:val="00781A03"/>
    <w:rsid w:val="00781F01"/>
    <w:rsid w:val="0078332C"/>
    <w:rsid w:val="0078406E"/>
    <w:rsid w:val="0078521F"/>
    <w:rsid w:val="007853DD"/>
    <w:rsid w:val="00785AF3"/>
    <w:rsid w:val="00785F99"/>
    <w:rsid w:val="007861F8"/>
    <w:rsid w:val="00786DBB"/>
    <w:rsid w:val="0078773D"/>
    <w:rsid w:val="00787B89"/>
    <w:rsid w:val="00790B6E"/>
    <w:rsid w:val="007912FD"/>
    <w:rsid w:val="00791999"/>
    <w:rsid w:val="00791B32"/>
    <w:rsid w:val="00791B77"/>
    <w:rsid w:val="00791EF8"/>
    <w:rsid w:val="00793026"/>
    <w:rsid w:val="00796EB8"/>
    <w:rsid w:val="0079705D"/>
    <w:rsid w:val="00797295"/>
    <w:rsid w:val="007A08D0"/>
    <w:rsid w:val="007A1FB5"/>
    <w:rsid w:val="007A3A4A"/>
    <w:rsid w:val="007A533D"/>
    <w:rsid w:val="007A61D8"/>
    <w:rsid w:val="007A6750"/>
    <w:rsid w:val="007A70CC"/>
    <w:rsid w:val="007A760B"/>
    <w:rsid w:val="007B04AF"/>
    <w:rsid w:val="007B1D7C"/>
    <w:rsid w:val="007B1ED6"/>
    <w:rsid w:val="007B3BA0"/>
    <w:rsid w:val="007B3DD5"/>
    <w:rsid w:val="007B3F2C"/>
    <w:rsid w:val="007B4767"/>
    <w:rsid w:val="007B4F89"/>
    <w:rsid w:val="007B53BC"/>
    <w:rsid w:val="007B5C80"/>
    <w:rsid w:val="007B65F5"/>
    <w:rsid w:val="007B69C0"/>
    <w:rsid w:val="007B7689"/>
    <w:rsid w:val="007C167C"/>
    <w:rsid w:val="007C1E6E"/>
    <w:rsid w:val="007C30E9"/>
    <w:rsid w:val="007C37C7"/>
    <w:rsid w:val="007C49E7"/>
    <w:rsid w:val="007C5929"/>
    <w:rsid w:val="007C5FBE"/>
    <w:rsid w:val="007C61CA"/>
    <w:rsid w:val="007C6704"/>
    <w:rsid w:val="007C7DA9"/>
    <w:rsid w:val="007D0073"/>
    <w:rsid w:val="007D0D19"/>
    <w:rsid w:val="007D1317"/>
    <w:rsid w:val="007D134B"/>
    <w:rsid w:val="007D174B"/>
    <w:rsid w:val="007D1BF1"/>
    <w:rsid w:val="007D1C2D"/>
    <w:rsid w:val="007D2B85"/>
    <w:rsid w:val="007D7EF1"/>
    <w:rsid w:val="007E21D6"/>
    <w:rsid w:val="007E2A3D"/>
    <w:rsid w:val="007E2B4E"/>
    <w:rsid w:val="007E4140"/>
    <w:rsid w:val="007E4BA4"/>
    <w:rsid w:val="007E4F80"/>
    <w:rsid w:val="007E4FDF"/>
    <w:rsid w:val="007E6C8D"/>
    <w:rsid w:val="007F173B"/>
    <w:rsid w:val="007F3020"/>
    <w:rsid w:val="007F3BE2"/>
    <w:rsid w:val="007F4B74"/>
    <w:rsid w:val="007F5D92"/>
    <w:rsid w:val="007F61D4"/>
    <w:rsid w:val="007F7918"/>
    <w:rsid w:val="007F7958"/>
    <w:rsid w:val="00801201"/>
    <w:rsid w:val="00804260"/>
    <w:rsid w:val="00804507"/>
    <w:rsid w:val="008049C3"/>
    <w:rsid w:val="008052C3"/>
    <w:rsid w:val="00805519"/>
    <w:rsid w:val="00806061"/>
    <w:rsid w:val="00806294"/>
    <w:rsid w:val="00806398"/>
    <w:rsid w:val="00806561"/>
    <w:rsid w:val="00807BE8"/>
    <w:rsid w:val="0081032D"/>
    <w:rsid w:val="0081074E"/>
    <w:rsid w:val="00811103"/>
    <w:rsid w:val="00811755"/>
    <w:rsid w:val="00813024"/>
    <w:rsid w:val="008134B9"/>
    <w:rsid w:val="008142BB"/>
    <w:rsid w:val="00815C14"/>
    <w:rsid w:val="0081686D"/>
    <w:rsid w:val="0081700C"/>
    <w:rsid w:val="00820295"/>
    <w:rsid w:val="008207A7"/>
    <w:rsid w:val="00820CA5"/>
    <w:rsid w:val="00820E8C"/>
    <w:rsid w:val="0082175B"/>
    <w:rsid w:val="008221C3"/>
    <w:rsid w:val="00822FF3"/>
    <w:rsid w:val="008236BB"/>
    <w:rsid w:val="0082427D"/>
    <w:rsid w:val="00824552"/>
    <w:rsid w:val="00824670"/>
    <w:rsid w:val="008279F2"/>
    <w:rsid w:val="00831A5A"/>
    <w:rsid w:val="00831CCE"/>
    <w:rsid w:val="00832561"/>
    <w:rsid w:val="00833B4D"/>
    <w:rsid w:val="00833C0E"/>
    <w:rsid w:val="008344F4"/>
    <w:rsid w:val="0083766F"/>
    <w:rsid w:val="008414E1"/>
    <w:rsid w:val="00842730"/>
    <w:rsid w:val="00842E89"/>
    <w:rsid w:val="00843804"/>
    <w:rsid w:val="0084399E"/>
    <w:rsid w:val="00844261"/>
    <w:rsid w:val="0084548D"/>
    <w:rsid w:val="00845890"/>
    <w:rsid w:val="00845C88"/>
    <w:rsid w:val="00845CFC"/>
    <w:rsid w:val="00846F01"/>
    <w:rsid w:val="008477F8"/>
    <w:rsid w:val="008503C4"/>
    <w:rsid w:val="00851925"/>
    <w:rsid w:val="00852ACD"/>
    <w:rsid w:val="00852CA2"/>
    <w:rsid w:val="008536D9"/>
    <w:rsid w:val="00860819"/>
    <w:rsid w:val="0086084F"/>
    <w:rsid w:val="00860F4A"/>
    <w:rsid w:val="0086341B"/>
    <w:rsid w:val="00863E1F"/>
    <w:rsid w:val="00864B92"/>
    <w:rsid w:val="0086507A"/>
    <w:rsid w:val="00865822"/>
    <w:rsid w:val="00866ACB"/>
    <w:rsid w:val="00866F5E"/>
    <w:rsid w:val="00867518"/>
    <w:rsid w:val="00870AA6"/>
    <w:rsid w:val="00870DD0"/>
    <w:rsid w:val="008712D3"/>
    <w:rsid w:val="00871A19"/>
    <w:rsid w:val="008747AE"/>
    <w:rsid w:val="00876006"/>
    <w:rsid w:val="008777AE"/>
    <w:rsid w:val="00880102"/>
    <w:rsid w:val="00881A9B"/>
    <w:rsid w:val="00881E68"/>
    <w:rsid w:val="00883A44"/>
    <w:rsid w:val="008854F9"/>
    <w:rsid w:val="0088664C"/>
    <w:rsid w:val="00886661"/>
    <w:rsid w:val="00886C90"/>
    <w:rsid w:val="00891069"/>
    <w:rsid w:val="0089137B"/>
    <w:rsid w:val="00893719"/>
    <w:rsid w:val="00893859"/>
    <w:rsid w:val="00894538"/>
    <w:rsid w:val="00894955"/>
    <w:rsid w:val="00896A58"/>
    <w:rsid w:val="00897F72"/>
    <w:rsid w:val="008A07B9"/>
    <w:rsid w:val="008A0D31"/>
    <w:rsid w:val="008A0E25"/>
    <w:rsid w:val="008A127D"/>
    <w:rsid w:val="008A37A1"/>
    <w:rsid w:val="008A42B6"/>
    <w:rsid w:val="008A4500"/>
    <w:rsid w:val="008B008F"/>
    <w:rsid w:val="008B0A8C"/>
    <w:rsid w:val="008B0AB2"/>
    <w:rsid w:val="008B0CB9"/>
    <w:rsid w:val="008B2490"/>
    <w:rsid w:val="008B2502"/>
    <w:rsid w:val="008B2AB9"/>
    <w:rsid w:val="008B3710"/>
    <w:rsid w:val="008B42A0"/>
    <w:rsid w:val="008B4C81"/>
    <w:rsid w:val="008B5721"/>
    <w:rsid w:val="008B605A"/>
    <w:rsid w:val="008B6243"/>
    <w:rsid w:val="008B639D"/>
    <w:rsid w:val="008B6CCB"/>
    <w:rsid w:val="008C22F8"/>
    <w:rsid w:val="008C361D"/>
    <w:rsid w:val="008C3761"/>
    <w:rsid w:val="008C3A84"/>
    <w:rsid w:val="008C3D1B"/>
    <w:rsid w:val="008C434E"/>
    <w:rsid w:val="008C5B9D"/>
    <w:rsid w:val="008C5C17"/>
    <w:rsid w:val="008C605D"/>
    <w:rsid w:val="008C6297"/>
    <w:rsid w:val="008D0DFC"/>
    <w:rsid w:val="008D1E0A"/>
    <w:rsid w:val="008D1F13"/>
    <w:rsid w:val="008D4930"/>
    <w:rsid w:val="008D56A5"/>
    <w:rsid w:val="008D5F46"/>
    <w:rsid w:val="008D5F6E"/>
    <w:rsid w:val="008D6081"/>
    <w:rsid w:val="008D76D8"/>
    <w:rsid w:val="008E0F45"/>
    <w:rsid w:val="008E2853"/>
    <w:rsid w:val="008E3752"/>
    <w:rsid w:val="008E502B"/>
    <w:rsid w:val="008E51C1"/>
    <w:rsid w:val="008E5313"/>
    <w:rsid w:val="008E6433"/>
    <w:rsid w:val="008E65FC"/>
    <w:rsid w:val="008E7687"/>
    <w:rsid w:val="008F043F"/>
    <w:rsid w:val="008F059B"/>
    <w:rsid w:val="008F0B6D"/>
    <w:rsid w:val="008F2106"/>
    <w:rsid w:val="008F3E1D"/>
    <w:rsid w:val="008F4832"/>
    <w:rsid w:val="008F518E"/>
    <w:rsid w:val="008F59FF"/>
    <w:rsid w:val="008F7BE7"/>
    <w:rsid w:val="00900B0A"/>
    <w:rsid w:val="00900F12"/>
    <w:rsid w:val="00901040"/>
    <w:rsid w:val="009012C6"/>
    <w:rsid w:val="009014C3"/>
    <w:rsid w:val="009019FD"/>
    <w:rsid w:val="00901B35"/>
    <w:rsid w:val="0090217B"/>
    <w:rsid w:val="00903432"/>
    <w:rsid w:val="00903A7A"/>
    <w:rsid w:val="00905E4D"/>
    <w:rsid w:val="00907579"/>
    <w:rsid w:val="00911FD8"/>
    <w:rsid w:val="0091210F"/>
    <w:rsid w:val="009123D4"/>
    <w:rsid w:val="00914B4B"/>
    <w:rsid w:val="009152A8"/>
    <w:rsid w:val="009152CB"/>
    <w:rsid w:val="009156AB"/>
    <w:rsid w:val="00915FBA"/>
    <w:rsid w:val="00916445"/>
    <w:rsid w:val="00916DF5"/>
    <w:rsid w:val="00916F70"/>
    <w:rsid w:val="009177D5"/>
    <w:rsid w:val="00920585"/>
    <w:rsid w:val="00923D6F"/>
    <w:rsid w:val="0092434F"/>
    <w:rsid w:val="00926B77"/>
    <w:rsid w:val="00926FD2"/>
    <w:rsid w:val="00933E88"/>
    <w:rsid w:val="00934292"/>
    <w:rsid w:val="0093520D"/>
    <w:rsid w:val="00935245"/>
    <w:rsid w:val="0093550A"/>
    <w:rsid w:val="00936E16"/>
    <w:rsid w:val="00936FDE"/>
    <w:rsid w:val="00937C33"/>
    <w:rsid w:val="00944256"/>
    <w:rsid w:val="009459FF"/>
    <w:rsid w:val="00945BE2"/>
    <w:rsid w:val="0094629B"/>
    <w:rsid w:val="009470E1"/>
    <w:rsid w:val="00947821"/>
    <w:rsid w:val="00950892"/>
    <w:rsid w:val="0095129A"/>
    <w:rsid w:val="00953AFD"/>
    <w:rsid w:val="0095460B"/>
    <w:rsid w:val="0095469E"/>
    <w:rsid w:val="009557E1"/>
    <w:rsid w:val="00956B24"/>
    <w:rsid w:val="00956C8E"/>
    <w:rsid w:val="00960076"/>
    <w:rsid w:val="009600B6"/>
    <w:rsid w:val="00960E62"/>
    <w:rsid w:val="00960EF0"/>
    <w:rsid w:val="00960FAC"/>
    <w:rsid w:val="0096113A"/>
    <w:rsid w:val="0096129D"/>
    <w:rsid w:val="009620F5"/>
    <w:rsid w:val="009624DE"/>
    <w:rsid w:val="009640D1"/>
    <w:rsid w:val="009642D7"/>
    <w:rsid w:val="00966586"/>
    <w:rsid w:val="00967A3A"/>
    <w:rsid w:val="00971C65"/>
    <w:rsid w:val="00972021"/>
    <w:rsid w:val="0097229A"/>
    <w:rsid w:val="00972638"/>
    <w:rsid w:val="00972B6F"/>
    <w:rsid w:val="00973BC7"/>
    <w:rsid w:val="00974FA9"/>
    <w:rsid w:val="00975333"/>
    <w:rsid w:val="00975F3E"/>
    <w:rsid w:val="009802AC"/>
    <w:rsid w:val="009812A8"/>
    <w:rsid w:val="00981879"/>
    <w:rsid w:val="0098461B"/>
    <w:rsid w:val="00984A43"/>
    <w:rsid w:val="00985FFF"/>
    <w:rsid w:val="00987D6E"/>
    <w:rsid w:val="0099073A"/>
    <w:rsid w:val="00990A1C"/>
    <w:rsid w:val="009914E7"/>
    <w:rsid w:val="00991DFF"/>
    <w:rsid w:val="00991E2E"/>
    <w:rsid w:val="00991E55"/>
    <w:rsid w:val="00992B5F"/>
    <w:rsid w:val="009931B5"/>
    <w:rsid w:val="00993A89"/>
    <w:rsid w:val="009952C2"/>
    <w:rsid w:val="00995588"/>
    <w:rsid w:val="009970FE"/>
    <w:rsid w:val="009978E2"/>
    <w:rsid w:val="009A1B56"/>
    <w:rsid w:val="009A22C2"/>
    <w:rsid w:val="009A455A"/>
    <w:rsid w:val="009A58A9"/>
    <w:rsid w:val="009A6107"/>
    <w:rsid w:val="009A7273"/>
    <w:rsid w:val="009A7845"/>
    <w:rsid w:val="009B0629"/>
    <w:rsid w:val="009B1051"/>
    <w:rsid w:val="009B2018"/>
    <w:rsid w:val="009B3FB4"/>
    <w:rsid w:val="009B5637"/>
    <w:rsid w:val="009C067F"/>
    <w:rsid w:val="009C200E"/>
    <w:rsid w:val="009C2262"/>
    <w:rsid w:val="009C2791"/>
    <w:rsid w:val="009C2D43"/>
    <w:rsid w:val="009C35CA"/>
    <w:rsid w:val="009C383A"/>
    <w:rsid w:val="009C46B8"/>
    <w:rsid w:val="009C5B62"/>
    <w:rsid w:val="009C5C70"/>
    <w:rsid w:val="009C66D0"/>
    <w:rsid w:val="009D0595"/>
    <w:rsid w:val="009D099A"/>
    <w:rsid w:val="009D134D"/>
    <w:rsid w:val="009D33B7"/>
    <w:rsid w:val="009D3E15"/>
    <w:rsid w:val="009D4E5D"/>
    <w:rsid w:val="009D5AFC"/>
    <w:rsid w:val="009D69C8"/>
    <w:rsid w:val="009E0D14"/>
    <w:rsid w:val="009E12AC"/>
    <w:rsid w:val="009E3809"/>
    <w:rsid w:val="009E6194"/>
    <w:rsid w:val="009F17D9"/>
    <w:rsid w:val="009F1AB6"/>
    <w:rsid w:val="009F2B28"/>
    <w:rsid w:val="009F3080"/>
    <w:rsid w:val="009F3669"/>
    <w:rsid w:val="009F44C1"/>
    <w:rsid w:val="009F48FD"/>
    <w:rsid w:val="009F4E0F"/>
    <w:rsid w:val="009F4F76"/>
    <w:rsid w:val="009F628E"/>
    <w:rsid w:val="009F6735"/>
    <w:rsid w:val="009F6F3B"/>
    <w:rsid w:val="009F7C8F"/>
    <w:rsid w:val="009F7E83"/>
    <w:rsid w:val="00A0131F"/>
    <w:rsid w:val="00A01FAA"/>
    <w:rsid w:val="00A025C8"/>
    <w:rsid w:val="00A026B7"/>
    <w:rsid w:val="00A0294B"/>
    <w:rsid w:val="00A0317B"/>
    <w:rsid w:val="00A0568F"/>
    <w:rsid w:val="00A1080F"/>
    <w:rsid w:val="00A11014"/>
    <w:rsid w:val="00A11552"/>
    <w:rsid w:val="00A11A6B"/>
    <w:rsid w:val="00A12EC3"/>
    <w:rsid w:val="00A136D7"/>
    <w:rsid w:val="00A157B0"/>
    <w:rsid w:val="00A157FD"/>
    <w:rsid w:val="00A167C5"/>
    <w:rsid w:val="00A24DF5"/>
    <w:rsid w:val="00A2502C"/>
    <w:rsid w:val="00A26B3F"/>
    <w:rsid w:val="00A279A9"/>
    <w:rsid w:val="00A30C16"/>
    <w:rsid w:val="00A30C2E"/>
    <w:rsid w:val="00A32113"/>
    <w:rsid w:val="00A328F5"/>
    <w:rsid w:val="00A33B09"/>
    <w:rsid w:val="00A34A1F"/>
    <w:rsid w:val="00A35781"/>
    <w:rsid w:val="00A35923"/>
    <w:rsid w:val="00A36669"/>
    <w:rsid w:val="00A36E2D"/>
    <w:rsid w:val="00A36F62"/>
    <w:rsid w:val="00A3782B"/>
    <w:rsid w:val="00A40425"/>
    <w:rsid w:val="00A42C41"/>
    <w:rsid w:val="00A448D2"/>
    <w:rsid w:val="00A4618E"/>
    <w:rsid w:val="00A46927"/>
    <w:rsid w:val="00A4757D"/>
    <w:rsid w:val="00A4774D"/>
    <w:rsid w:val="00A5049B"/>
    <w:rsid w:val="00A50ABB"/>
    <w:rsid w:val="00A51B11"/>
    <w:rsid w:val="00A557F2"/>
    <w:rsid w:val="00A55E74"/>
    <w:rsid w:val="00A6261D"/>
    <w:rsid w:val="00A63096"/>
    <w:rsid w:val="00A65542"/>
    <w:rsid w:val="00A66529"/>
    <w:rsid w:val="00A67167"/>
    <w:rsid w:val="00A70C0C"/>
    <w:rsid w:val="00A718EE"/>
    <w:rsid w:val="00A723AE"/>
    <w:rsid w:val="00A727BE"/>
    <w:rsid w:val="00A735DE"/>
    <w:rsid w:val="00A73798"/>
    <w:rsid w:val="00A7449A"/>
    <w:rsid w:val="00A7698B"/>
    <w:rsid w:val="00A769E2"/>
    <w:rsid w:val="00A77ACD"/>
    <w:rsid w:val="00A80044"/>
    <w:rsid w:val="00A80893"/>
    <w:rsid w:val="00A80F8C"/>
    <w:rsid w:val="00A82C60"/>
    <w:rsid w:val="00A82F4C"/>
    <w:rsid w:val="00A83377"/>
    <w:rsid w:val="00A83C7A"/>
    <w:rsid w:val="00A860C7"/>
    <w:rsid w:val="00A90354"/>
    <w:rsid w:val="00A9124D"/>
    <w:rsid w:val="00A91512"/>
    <w:rsid w:val="00A91E19"/>
    <w:rsid w:val="00A935F8"/>
    <w:rsid w:val="00A95A8B"/>
    <w:rsid w:val="00A96B94"/>
    <w:rsid w:val="00A97033"/>
    <w:rsid w:val="00A97643"/>
    <w:rsid w:val="00AA0247"/>
    <w:rsid w:val="00AA07C7"/>
    <w:rsid w:val="00AA1698"/>
    <w:rsid w:val="00AA191A"/>
    <w:rsid w:val="00AA1B03"/>
    <w:rsid w:val="00AA1B94"/>
    <w:rsid w:val="00AA1DE9"/>
    <w:rsid w:val="00AA2CE7"/>
    <w:rsid w:val="00AA3867"/>
    <w:rsid w:val="00AA3915"/>
    <w:rsid w:val="00AA5537"/>
    <w:rsid w:val="00AA5E0E"/>
    <w:rsid w:val="00AA63B5"/>
    <w:rsid w:val="00AA726B"/>
    <w:rsid w:val="00AA77ED"/>
    <w:rsid w:val="00AA7B39"/>
    <w:rsid w:val="00AB00A1"/>
    <w:rsid w:val="00AB1AA4"/>
    <w:rsid w:val="00AB1C09"/>
    <w:rsid w:val="00AB223E"/>
    <w:rsid w:val="00AB229C"/>
    <w:rsid w:val="00AB320D"/>
    <w:rsid w:val="00AB4B96"/>
    <w:rsid w:val="00AB4FF9"/>
    <w:rsid w:val="00AB5820"/>
    <w:rsid w:val="00AB5BDC"/>
    <w:rsid w:val="00AB5FD9"/>
    <w:rsid w:val="00AB6F0F"/>
    <w:rsid w:val="00AC066C"/>
    <w:rsid w:val="00AC2F2D"/>
    <w:rsid w:val="00AC3B4C"/>
    <w:rsid w:val="00AC3C1A"/>
    <w:rsid w:val="00AC4060"/>
    <w:rsid w:val="00AC44CB"/>
    <w:rsid w:val="00AC46E8"/>
    <w:rsid w:val="00AC495E"/>
    <w:rsid w:val="00AC4D85"/>
    <w:rsid w:val="00AC59CC"/>
    <w:rsid w:val="00AC61B7"/>
    <w:rsid w:val="00AC6774"/>
    <w:rsid w:val="00AC680A"/>
    <w:rsid w:val="00AD049C"/>
    <w:rsid w:val="00AD04E1"/>
    <w:rsid w:val="00AD0584"/>
    <w:rsid w:val="00AD2DA2"/>
    <w:rsid w:val="00AD3474"/>
    <w:rsid w:val="00AD5CA7"/>
    <w:rsid w:val="00AD63A4"/>
    <w:rsid w:val="00AD6B62"/>
    <w:rsid w:val="00AD6D92"/>
    <w:rsid w:val="00AD7762"/>
    <w:rsid w:val="00AE11BA"/>
    <w:rsid w:val="00AE1A63"/>
    <w:rsid w:val="00AE2587"/>
    <w:rsid w:val="00AE38B7"/>
    <w:rsid w:val="00AE3FFA"/>
    <w:rsid w:val="00AE49C5"/>
    <w:rsid w:val="00AE4B36"/>
    <w:rsid w:val="00AE5A09"/>
    <w:rsid w:val="00AE600E"/>
    <w:rsid w:val="00AE6103"/>
    <w:rsid w:val="00AE69A2"/>
    <w:rsid w:val="00AE6EA2"/>
    <w:rsid w:val="00AF0F3B"/>
    <w:rsid w:val="00AF1001"/>
    <w:rsid w:val="00AF12B9"/>
    <w:rsid w:val="00AF17E4"/>
    <w:rsid w:val="00AF1FA8"/>
    <w:rsid w:val="00AF436E"/>
    <w:rsid w:val="00AF45C3"/>
    <w:rsid w:val="00AF4CF6"/>
    <w:rsid w:val="00AF659A"/>
    <w:rsid w:val="00AF6EB2"/>
    <w:rsid w:val="00AF7704"/>
    <w:rsid w:val="00B00B05"/>
    <w:rsid w:val="00B01DE0"/>
    <w:rsid w:val="00B02887"/>
    <w:rsid w:val="00B03D66"/>
    <w:rsid w:val="00B05751"/>
    <w:rsid w:val="00B05B6C"/>
    <w:rsid w:val="00B05DD8"/>
    <w:rsid w:val="00B0627D"/>
    <w:rsid w:val="00B06F71"/>
    <w:rsid w:val="00B075E7"/>
    <w:rsid w:val="00B11F5F"/>
    <w:rsid w:val="00B1209B"/>
    <w:rsid w:val="00B12313"/>
    <w:rsid w:val="00B12792"/>
    <w:rsid w:val="00B134AB"/>
    <w:rsid w:val="00B13992"/>
    <w:rsid w:val="00B144B7"/>
    <w:rsid w:val="00B1583B"/>
    <w:rsid w:val="00B16DA0"/>
    <w:rsid w:val="00B16EE8"/>
    <w:rsid w:val="00B170F0"/>
    <w:rsid w:val="00B17A92"/>
    <w:rsid w:val="00B17B71"/>
    <w:rsid w:val="00B20D17"/>
    <w:rsid w:val="00B20EF7"/>
    <w:rsid w:val="00B21197"/>
    <w:rsid w:val="00B220C4"/>
    <w:rsid w:val="00B2381B"/>
    <w:rsid w:val="00B23B86"/>
    <w:rsid w:val="00B23EC7"/>
    <w:rsid w:val="00B241DC"/>
    <w:rsid w:val="00B2604E"/>
    <w:rsid w:val="00B26BE0"/>
    <w:rsid w:val="00B2793E"/>
    <w:rsid w:val="00B321CC"/>
    <w:rsid w:val="00B3301B"/>
    <w:rsid w:val="00B333BF"/>
    <w:rsid w:val="00B338EA"/>
    <w:rsid w:val="00B33A7D"/>
    <w:rsid w:val="00B34965"/>
    <w:rsid w:val="00B40E15"/>
    <w:rsid w:val="00B4409C"/>
    <w:rsid w:val="00B4411F"/>
    <w:rsid w:val="00B447B1"/>
    <w:rsid w:val="00B44AB5"/>
    <w:rsid w:val="00B45B50"/>
    <w:rsid w:val="00B462EA"/>
    <w:rsid w:val="00B508D0"/>
    <w:rsid w:val="00B51108"/>
    <w:rsid w:val="00B53970"/>
    <w:rsid w:val="00B53AEF"/>
    <w:rsid w:val="00B53E5D"/>
    <w:rsid w:val="00B54BB1"/>
    <w:rsid w:val="00B54E1E"/>
    <w:rsid w:val="00B55377"/>
    <w:rsid w:val="00B55BBD"/>
    <w:rsid w:val="00B55BFF"/>
    <w:rsid w:val="00B561A6"/>
    <w:rsid w:val="00B57527"/>
    <w:rsid w:val="00B57640"/>
    <w:rsid w:val="00B62B89"/>
    <w:rsid w:val="00B62C08"/>
    <w:rsid w:val="00B634ED"/>
    <w:rsid w:val="00B63FA7"/>
    <w:rsid w:val="00B6555F"/>
    <w:rsid w:val="00B67941"/>
    <w:rsid w:val="00B7056D"/>
    <w:rsid w:val="00B70B8E"/>
    <w:rsid w:val="00B70E89"/>
    <w:rsid w:val="00B71936"/>
    <w:rsid w:val="00B7297B"/>
    <w:rsid w:val="00B73E03"/>
    <w:rsid w:val="00B7434E"/>
    <w:rsid w:val="00B747F9"/>
    <w:rsid w:val="00B76858"/>
    <w:rsid w:val="00B768BC"/>
    <w:rsid w:val="00B76FE6"/>
    <w:rsid w:val="00B771A9"/>
    <w:rsid w:val="00B77964"/>
    <w:rsid w:val="00B8135C"/>
    <w:rsid w:val="00B81ECA"/>
    <w:rsid w:val="00B82059"/>
    <w:rsid w:val="00B829CE"/>
    <w:rsid w:val="00B82AC4"/>
    <w:rsid w:val="00B82E53"/>
    <w:rsid w:val="00B83632"/>
    <w:rsid w:val="00B84795"/>
    <w:rsid w:val="00B8643D"/>
    <w:rsid w:val="00B91AE8"/>
    <w:rsid w:val="00B92112"/>
    <w:rsid w:val="00B92F6C"/>
    <w:rsid w:val="00B96B96"/>
    <w:rsid w:val="00B97775"/>
    <w:rsid w:val="00BA077C"/>
    <w:rsid w:val="00BA0B99"/>
    <w:rsid w:val="00BA107C"/>
    <w:rsid w:val="00BA1273"/>
    <w:rsid w:val="00BA2016"/>
    <w:rsid w:val="00BA2BB1"/>
    <w:rsid w:val="00BA30B2"/>
    <w:rsid w:val="00BA55D4"/>
    <w:rsid w:val="00BA5903"/>
    <w:rsid w:val="00BA663F"/>
    <w:rsid w:val="00BB0086"/>
    <w:rsid w:val="00BB1579"/>
    <w:rsid w:val="00BB1E62"/>
    <w:rsid w:val="00BB6E12"/>
    <w:rsid w:val="00BB6F3D"/>
    <w:rsid w:val="00BB7C91"/>
    <w:rsid w:val="00BC0723"/>
    <w:rsid w:val="00BC19A4"/>
    <w:rsid w:val="00BC30DD"/>
    <w:rsid w:val="00BC3775"/>
    <w:rsid w:val="00BC4829"/>
    <w:rsid w:val="00BC4E35"/>
    <w:rsid w:val="00BC5627"/>
    <w:rsid w:val="00BC6590"/>
    <w:rsid w:val="00BC77C6"/>
    <w:rsid w:val="00BD01AD"/>
    <w:rsid w:val="00BD15BD"/>
    <w:rsid w:val="00BD2F1A"/>
    <w:rsid w:val="00BD5A35"/>
    <w:rsid w:val="00BD5C60"/>
    <w:rsid w:val="00BE0E34"/>
    <w:rsid w:val="00BE1585"/>
    <w:rsid w:val="00BE1CB0"/>
    <w:rsid w:val="00BE1DE9"/>
    <w:rsid w:val="00BE1E1D"/>
    <w:rsid w:val="00BE3743"/>
    <w:rsid w:val="00BE4EA1"/>
    <w:rsid w:val="00BE5015"/>
    <w:rsid w:val="00BE533D"/>
    <w:rsid w:val="00BE5D10"/>
    <w:rsid w:val="00BE7272"/>
    <w:rsid w:val="00BF1339"/>
    <w:rsid w:val="00BF2923"/>
    <w:rsid w:val="00BF33D5"/>
    <w:rsid w:val="00BF40B1"/>
    <w:rsid w:val="00BF4464"/>
    <w:rsid w:val="00BF4D76"/>
    <w:rsid w:val="00BF5524"/>
    <w:rsid w:val="00BF67D4"/>
    <w:rsid w:val="00BF6991"/>
    <w:rsid w:val="00C0057D"/>
    <w:rsid w:val="00C00DFA"/>
    <w:rsid w:val="00C01206"/>
    <w:rsid w:val="00C022FD"/>
    <w:rsid w:val="00C028A9"/>
    <w:rsid w:val="00C0388B"/>
    <w:rsid w:val="00C05F34"/>
    <w:rsid w:val="00C06136"/>
    <w:rsid w:val="00C0697D"/>
    <w:rsid w:val="00C07682"/>
    <w:rsid w:val="00C102D6"/>
    <w:rsid w:val="00C11641"/>
    <w:rsid w:val="00C119A7"/>
    <w:rsid w:val="00C11B8D"/>
    <w:rsid w:val="00C12C15"/>
    <w:rsid w:val="00C13F46"/>
    <w:rsid w:val="00C15215"/>
    <w:rsid w:val="00C157CB"/>
    <w:rsid w:val="00C173DF"/>
    <w:rsid w:val="00C17769"/>
    <w:rsid w:val="00C17A00"/>
    <w:rsid w:val="00C22156"/>
    <w:rsid w:val="00C22944"/>
    <w:rsid w:val="00C23361"/>
    <w:rsid w:val="00C2431B"/>
    <w:rsid w:val="00C250DA"/>
    <w:rsid w:val="00C25BAE"/>
    <w:rsid w:val="00C3180D"/>
    <w:rsid w:val="00C34367"/>
    <w:rsid w:val="00C36353"/>
    <w:rsid w:val="00C367D5"/>
    <w:rsid w:val="00C407B8"/>
    <w:rsid w:val="00C436A8"/>
    <w:rsid w:val="00C436C4"/>
    <w:rsid w:val="00C447C0"/>
    <w:rsid w:val="00C44DE4"/>
    <w:rsid w:val="00C4541E"/>
    <w:rsid w:val="00C46371"/>
    <w:rsid w:val="00C476F1"/>
    <w:rsid w:val="00C479E1"/>
    <w:rsid w:val="00C47F76"/>
    <w:rsid w:val="00C50B9D"/>
    <w:rsid w:val="00C51649"/>
    <w:rsid w:val="00C526DA"/>
    <w:rsid w:val="00C555B5"/>
    <w:rsid w:val="00C567A1"/>
    <w:rsid w:val="00C56AF9"/>
    <w:rsid w:val="00C57CA1"/>
    <w:rsid w:val="00C60C4D"/>
    <w:rsid w:val="00C61928"/>
    <w:rsid w:val="00C62A29"/>
    <w:rsid w:val="00C638BD"/>
    <w:rsid w:val="00C63AEF"/>
    <w:rsid w:val="00C63BAF"/>
    <w:rsid w:val="00C64D92"/>
    <w:rsid w:val="00C65717"/>
    <w:rsid w:val="00C673A0"/>
    <w:rsid w:val="00C7006A"/>
    <w:rsid w:val="00C70933"/>
    <w:rsid w:val="00C70B0B"/>
    <w:rsid w:val="00C71733"/>
    <w:rsid w:val="00C7207F"/>
    <w:rsid w:val="00C72CEE"/>
    <w:rsid w:val="00C73742"/>
    <w:rsid w:val="00C73CA1"/>
    <w:rsid w:val="00C74746"/>
    <w:rsid w:val="00C749C8"/>
    <w:rsid w:val="00C77798"/>
    <w:rsid w:val="00C7779C"/>
    <w:rsid w:val="00C80A2D"/>
    <w:rsid w:val="00C820F9"/>
    <w:rsid w:val="00C8304E"/>
    <w:rsid w:val="00C83CB2"/>
    <w:rsid w:val="00C85EF3"/>
    <w:rsid w:val="00C86BA4"/>
    <w:rsid w:val="00C8727D"/>
    <w:rsid w:val="00C908C4"/>
    <w:rsid w:val="00C9140A"/>
    <w:rsid w:val="00C91D0F"/>
    <w:rsid w:val="00C9436E"/>
    <w:rsid w:val="00C94ADD"/>
    <w:rsid w:val="00C95565"/>
    <w:rsid w:val="00C95630"/>
    <w:rsid w:val="00C97199"/>
    <w:rsid w:val="00CA2AED"/>
    <w:rsid w:val="00CA5044"/>
    <w:rsid w:val="00CA5A42"/>
    <w:rsid w:val="00CA5E37"/>
    <w:rsid w:val="00CA6347"/>
    <w:rsid w:val="00CA6756"/>
    <w:rsid w:val="00CA7297"/>
    <w:rsid w:val="00CB007B"/>
    <w:rsid w:val="00CB1208"/>
    <w:rsid w:val="00CB136E"/>
    <w:rsid w:val="00CB4351"/>
    <w:rsid w:val="00CB5BB2"/>
    <w:rsid w:val="00CB5F49"/>
    <w:rsid w:val="00CB6461"/>
    <w:rsid w:val="00CB68B3"/>
    <w:rsid w:val="00CB6CF0"/>
    <w:rsid w:val="00CB70D8"/>
    <w:rsid w:val="00CB70DA"/>
    <w:rsid w:val="00CB78DD"/>
    <w:rsid w:val="00CC0575"/>
    <w:rsid w:val="00CC1479"/>
    <w:rsid w:val="00CC2974"/>
    <w:rsid w:val="00CC4AD8"/>
    <w:rsid w:val="00CC4C68"/>
    <w:rsid w:val="00CC4E15"/>
    <w:rsid w:val="00CC5C7F"/>
    <w:rsid w:val="00CC5D71"/>
    <w:rsid w:val="00CC5F20"/>
    <w:rsid w:val="00CC6F34"/>
    <w:rsid w:val="00CC70D7"/>
    <w:rsid w:val="00CD17E3"/>
    <w:rsid w:val="00CD1D38"/>
    <w:rsid w:val="00CD2BF2"/>
    <w:rsid w:val="00CD43E1"/>
    <w:rsid w:val="00CD4A28"/>
    <w:rsid w:val="00CD5487"/>
    <w:rsid w:val="00CD599C"/>
    <w:rsid w:val="00CD6090"/>
    <w:rsid w:val="00CE03F4"/>
    <w:rsid w:val="00CE07E3"/>
    <w:rsid w:val="00CE0D3D"/>
    <w:rsid w:val="00CE1359"/>
    <w:rsid w:val="00CE1E99"/>
    <w:rsid w:val="00CE3190"/>
    <w:rsid w:val="00CE3AB1"/>
    <w:rsid w:val="00CE4802"/>
    <w:rsid w:val="00CE660C"/>
    <w:rsid w:val="00CF07F9"/>
    <w:rsid w:val="00CF2024"/>
    <w:rsid w:val="00CF27C9"/>
    <w:rsid w:val="00CF2AF9"/>
    <w:rsid w:val="00CF2B89"/>
    <w:rsid w:val="00CF44EF"/>
    <w:rsid w:val="00CF486D"/>
    <w:rsid w:val="00CF5095"/>
    <w:rsid w:val="00CF5967"/>
    <w:rsid w:val="00CF7487"/>
    <w:rsid w:val="00D007E8"/>
    <w:rsid w:val="00D02041"/>
    <w:rsid w:val="00D02169"/>
    <w:rsid w:val="00D0231B"/>
    <w:rsid w:val="00D03982"/>
    <w:rsid w:val="00D03C50"/>
    <w:rsid w:val="00D03E38"/>
    <w:rsid w:val="00D05FC9"/>
    <w:rsid w:val="00D0604A"/>
    <w:rsid w:val="00D06667"/>
    <w:rsid w:val="00D0673B"/>
    <w:rsid w:val="00D07030"/>
    <w:rsid w:val="00D07CDC"/>
    <w:rsid w:val="00D103B3"/>
    <w:rsid w:val="00D10BED"/>
    <w:rsid w:val="00D10F51"/>
    <w:rsid w:val="00D123C1"/>
    <w:rsid w:val="00D13567"/>
    <w:rsid w:val="00D143F4"/>
    <w:rsid w:val="00D14981"/>
    <w:rsid w:val="00D14D06"/>
    <w:rsid w:val="00D16928"/>
    <w:rsid w:val="00D17749"/>
    <w:rsid w:val="00D20946"/>
    <w:rsid w:val="00D21B73"/>
    <w:rsid w:val="00D21C1A"/>
    <w:rsid w:val="00D232DD"/>
    <w:rsid w:val="00D237C2"/>
    <w:rsid w:val="00D23C38"/>
    <w:rsid w:val="00D2470F"/>
    <w:rsid w:val="00D24AD3"/>
    <w:rsid w:val="00D24F83"/>
    <w:rsid w:val="00D25EF5"/>
    <w:rsid w:val="00D26481"/>
    <w:rsid w:val="00D26541"/>
    <w:rsid w:val="00D26A5E"/>
    <w:rsid w:val="00D26E4E"/>
    <w:rsid w:val="00D26EA0"/>
    <w:rsid w:val="00D26ED9"/>
    <w:rsid w:val="00D27189"/>
    <w:rsid w:val="00D2748A"/>
    <w:rsid w:val="00D3022D"/>
    <w:rsid w:val="00D302A8"/>
    <w:rsid w:val="00D30B6A"/>
    <w:rsid w:val="00D310FA"/>
    <w:rsid w:val="00D323E6"/>
    <w:rsid w:val="00D32A74"/>
    <w:rsid w:val="00D338C6"/>
    <w:rsid w:val="00D349A5"/>
    <w:rsid w:val="00D42506"/>
    <w:rsid w:val="00D432C5"/>
    <w:rsid w:val="00D461E6"/>
    <w:rsid w:val="00D46A52"/>
    <w:rsid w:val="00D475C0"/>
    <w:rsid w:val="00D479AD"/>
    <w:rsid w:val="00D5049E"/>
    <w:rsid w:val="00D509EE"/>
    <w:rsid w:val="00D52C52"/>
    <w:rsid w:val="00D5383B"/>
    <w:rsid w:val="00D54950"/>
    <w:rsid w:val="00D550D7"/>
    <w:rsid w:val="00D558BE"/>
    <w:rsid w:val="00D56823"/>
    <w:rsid w:val="00D570E2"/>
    <w:rsid w:val="00D572AF"/>
    <w:rsid w:val="00D57344"/>
    <w:rsid w:val="00D60411"/>
    <w:rsid w:val="00D62010"/>
    <w:rsid w:val="00D62628"/>
    <w:rsid w:val="00D63791"/>
    <w:rsid w:val="00D6403A"/>
    <w:rsid w:val="00D64E9B"/>
    <w:rsid w:val="00D667D0"/>
    <w:rsid w:val="00D66CF8"/>
    <w:rsid w:val="00D67B97"/>
    <w:rsid w:val="00D70296"/>
    <w:rsid w:val="00D71B14"/>
    <w:rsid w:val="00D74285"/>
    <w:rsid w:val="00D7498A"/>
    <w:rsid w:val="00D75F63"/>
    <w:rsid w:val="00D76B3D"/>
    <w:rsid w:val="00D76E0F"/>
    <w:rsid w:val="00D76ECB"/>
    <w:rsid w:val="00D7787F"/>
    <w:rsid w:val="00D77968"/>
    <w:rsid w:val="00D80256"/>
    <w:rsid w:val="00D80608"/>
    <w:rsid w:val="00D80DF3"/>
    <w:rsid w:val="00D8398A"/>
    <w:rsid w:val="00D8535B"/>
    <w:rsid w:val="00D85652"/>
    <w:rsid w:val="00D85DF0"/>
    <w:rsid w:val="00D85E52"/>
    <w:rsid w:val="00D8693F"/>
    <w:rsid w:val="00D86FEA"/>
    <w:rsid w:val="00D905BE"/>
    <w:rsid w:val="00D91B2D"/>
    <w:rsid w:val="00D9461E"/>
    <w:rsid w:val="00D94781"/>
    <w:rsid w:val="00D94D18"/>
    <w:rsid w:val="00D956B5"/>
    <w:rsid w:val="00D959E8"/>
    <w:rsid w:val="00D961C7"/>
    <w:rsid w:val="00D964B5"/>
    <w:rsid w:val="00D9781E"/>
    <w:rsid w:val="00DA0B60"/>
    <w:rsid w:val="00DA1E9C"/>
    <w:rsid w:val="00DA37F0"/>
    <w:rsid w:val="00DA4B03"/>
    <w:rsid w:val="00DA523D"/>
    <w:rsid w:val="00DA57D6"/>
    <w:rsid w:val="00DA5D2A"/>
    <w:rsid w:val="00DA638D"/>
    <w:rsid w:val="00DA7136"/>
    <w:rsid w:val="00DA7577"/>
    <w:rsid w:val="00DB1287"/>
    <w:rsid w:val="00DB1CA7"/>
    <w:rsid w:val="00DB249D"/>
    <w:rsid w:val="00DB2F4F"/>
    <w:rsid w:val="00DB3B16"/>
    <w:rsid w:val="00DB3F26"/>
    <w:rsid w:val="00DB4043"/>
    <w:rsid w:val="00DB4342"/>
    <w:rsid w:val="00DB505B"/>
    <w:rsid w:val="00DB69D5"/>
    <w:rsid w:val="00DB7502"/>
    <w:rsid w:val="00DC06B6"/>
    <w:rsid w:val="00DC0DBD"/>
    <w:rsid w:val="00DC14ED"/>
    <w:rsid w:val="00DC16FF"/>
    <w:rsid w:val="00DC2254"/>
    <w:rsid w:val="00DC3B44"/>
    <w:rsid w:val="00DC4240"/>
    <w:rsid w:val="00DC65B1"/>
    <w:rsid w:val="00DC6683"/>
    <w:rsid w:val="00DC69B0"/>
    <w:rsid w:val="00DC77A8"/>
    <w:rsid w:val="00DC7B53"/>
    <w:rsid w:val="00DD03F8"/>
    <w:rsid w:val="00DD0EED"/>
    <w:rsid w:val="00DD252D"/>
    <w:rsid w:val="00DD2B46"/>
    <w:rsid w:val="00DD31BD"/>
    <w:rsid w:val="00DD51F1"/>
    <w:rsid w:val="00DD56DE"/>
    <w:rsid w:val="00DD5862"/>
    <w:rsid w:val="00DD5913"/>
    <w:rsid w:val="00DD7E82"/>
    <w:rsid w:val="00DE06A4"/>
    <w:rsid w:val="00DE1BFB"/>
    <w:rsid w:val="00DE2D88"/>
    <w:rsid w:val="00DE2DB6"/>
    <w:rsid w:val="00DE3779"/>
    <w:rsid w:val="00DE3B12"/>
    <w:rsid w:val="00DE4580"/>
    <w:rsid w:val="00DE6A0A"/>
    <w:rsid w:val="00DE778E"/>
    <w:rsid w:val="00DF173B"/>
    <w:rsid w:val="00DF17A8"/>
    <w:rsid w:val="00DF1BCD"/>
    <w:rsid w:val="00DF1CEE"/>
    <w:rsid w:val="00DF6398"/>
    <w:rsid w:val="00DF735E"/>
    <w:rsid w:val="00DF73B3"/>
    <w:rsid w:val="00DF7EF6"/>
    <w:rsid w:val="00E00A06"/>
    <w:rsid w:val="00E012BB"/>
    <w:rsid w:val="00E04125"/>
    <w:rsid w:val="00E0593A"/>
    <w:rsid w:val="00E079AC"/>
    <w:rsid w:val="00E10585"/>
    <w:rsid w:val="00E11DFB"/>
    <w:rsid w:val="00E11F68"/>
    <w:rsid w:val="00E125C8"/>
    <w:rsid w:val="00E1260B"/>
    <w:rsid w:val="00E12ABA"/>
    <w:rsid w:val="00E12B76"/>
    <w:rsid w:val="00E12BB0"/>
    <w:rsid w:val="00E136A0"/>
    <w:rsid w:val="00E146B4"/>
    <w:rsid w:val="00E14920"/>
    <w:rsid w:val="00E15692"/>
    <w:rsid w:val="00E16462"/>
    <w:rsid w:val="00E168F6"/>
    <w:rsid w:val="00E1707F"/>
    <w:rsid w:val="00E17D76"/>
    <w:rsid w:val="00E24CA0"/>
    <w:rsid w:val="00E254CE"/>
    <w:rsid w:val="00E25DFC"/>
    <w:rsid w:val="00E265DA"/>
    <w:rsid w:val="00E26E16"/>
    <w:rsid w:val="00E27F66"/>
    <w:rsid w:val="00E3188A"/>
    <w:rsid w:val="00E33FB1"/>
    <w:rsid w:val="00E34CED"/>
    <w:rsid w:val="00E34D6E"/>
    <w:rsid w:val="00E40ABF"/>
    <w:rsid w:val="00E43502"/>
    <w:rsid w:val="00E44C18"/>
    <w:rsid w:val="00E44FED"/>
    <w:rsid w:val="00E45087"/>
    <w:rsid w:val="00E47A2E"/>
    <w:rsid w:val="00E50010"/>
    <w:rsid w:val="00E500E3"/>
    <w:rsid w:val="00E511EC"/>
    <w:rsid w:val="00E52B5E"/>
    <w:rsid w:val="00E53266"/>
    <w:rsid w:val="00E541F8"/>
    <w:rsid w:val="00E562AC"/>
    <w:rsid w:val="00E56531"/>
    <w:rsid w:val="00E5725E"/>
    <w:rsid w:val="00E600D4"/>
    <w:rsid w:val="00E602BA"/>
    <w:rsid w:val="00E60912"/>
    <w:rsid w:val="00E60AB2"/>
    <w:rsid w:val="00E60D8A"/>
    <w:rsid w:val="00E6376E"/>
    <w:rsid w:val="00E639A6"/>
    <w:rsid w:val="00E705C8"/>
    <w:rsid w:val="00E70E80"/>
    <w:rsid w:val="00E72E0F"/>
    <w:rsid w:val="00E730A5"/>
    <w:rsid w:val="00E7379C"/>
    <w:rsid w:val="00E73DF0"/>
    <w:rsid w:val="00E73FE0"/>
    <w:rsid w:val="00E74E34"/>
    <w:rsid w:val="00E75097"/>
    <w:rsid w:val="00E756B2"/>
    <w:rsid w:val="00E76841"/>
    <w:rsid w:val="00E80188"/>
    <w:rsid w:val="00E80843"/>
    <w:rsid w:val="00E80A52"/>
    <w:rsid w:val="00E81252"/>
    <w:rsid w:val="00E81721"/>
    <w:rsid w:val="00E81A21"/>
    <w:rsid w:val="00E8334E"/>
    <w:rsid w:val="00E83514"/>
    <w:rsid w:val="00E844D2"/>
    <w:rsid w:val="00E85BCD"/>
    <w:rsid w:val="00E863B8"/>
    <w:rsid w:val="00E871F5"/>
    <w:rsid w:val="00E905D3"/>
    <w:rsid w:val="00E90972"/>
    <w:rsid w:val="00E90C02"/>
    <w:rsid w:val="00E915E8"/>
    <w:rsid w:val="00E91AF9"/>
    <w:rsid w:val="00E91B3C"/>
    <w:rsid w:val="00E96EC8"/>
    <w:rsid w:val="00E96FBA"/>
    <w:rsid w:val="00E9774B"/>
    <w:rsid w:val="00EA0D1A"/>
    <w:rsid w:val="00EA10E1"/>
    <w:rsid w:val="00EA262B"/>
    <w:rsid w:val="00EA27A4"/>
    <w:rsid w:val="00EA302E"/>
    <w:rsid w:val="00EA4063"/>
    <w:rsid w:val="00EA4772"/>
    <w:rsid w:val="00EA480D"/>
    <w:rsid w:val="00EA4A44"/>
    <w:rsid w:val="00EA66F5"/>
    <w:rsid w:val="00EA6CBD"/>
    <w:rsid w:val="00EB12CD"/>
    <w:rsid w:val="00EB1440"/>
    <w:rsid w:val="00EB15B9"/>
    <w:rsid w:val="00EB28AC"/>
    <w:rsid w:val="00EB35E6"/>
    <w:rsid w:val="00EB3C78"/>
    <w:rsid w:val="00EB3DF6"/>
    <w:rsid w:val="00EB468F"/>
    <w:rsid w:val="00EB5F8C"/>
    <w:rsid w:val="00EB75D8"/>
    <w:rsid w:val="00EB7A49"/>
    <w:rsid w:val="00EC00C1"/>
    <w:rsid w:val="00EC1645"/>
    <w:rsid w:val="00EC26BB"/>
    <w:rsid w:val="00EC31F8"/>
    <w:rsid w:val="00EC388F"/>
    <w:rsid w:val="00EC3DB3"/>
    <w:rsid w:val="00EC4296"/>
    <w:rsid w:val="00EC4383"/>
    <w:rsid w:val="00EC4780"/>
    <w:rsid w:val="00EC505A"/>
    <w:rsid w:val="00EC56B5"/>
    <w:rsid w:val="00EC70C4"/>
    <w:rsid w:val="00EC753A"/>
    <w:rsid w:val="00EC76A1"/>
    <w:rsid w:val="00EC7E47"/>
    <w:rsid w:val="00ED0AF4"/>
    <w:rsid w:val="00ED1C8E"/>
    <w:rsid w:val="00ED3E6C"/>
    <w:rsid w:val="00ED5B7C"/>
    <w:rsid w:val="00ED64FB"/>
    <w:rsid w:val="00ED7FBE"/>
    <w:rsid w:val="00EE0FDE"/>
    <w:rsid w:val="00EE1A55"/>
    <w:rsid w:val="00EE21EE"/>
    <w:rsid w:val="00EE263A"/>
    <w:rsid w:val="00EE2AFE"/>
    <w:rsid w:val="00EE37CA"/>
    <w:rsid w:val="00EE3972"/>
    <w:rsid w:val="00EE3BC4"/>
    <w:rsid w:val="00EE643A"/>
    <w:rsid w:val="00EF1301"/>
    <w:rsid w:val="00EF1366"/>
    <w:rsid w:val="00EF1AE8"/>
    <w:rsid w:val="00EF3D2C"/>
    <w:rsid w:val="00EF4492"/>
    <w:rsid w:val="00EF4E4E"/>
    <w:rsid w:val="00EF5852"/>
    <w:rsid w:val="00F0123E"/>
    <w:rsid w:val="00F01610"/>
    <w:rsid w:val="00F023E2"/>
    <w:rsid w:val="00F024FC"/>
    <w:rsid w:val="00F02A67"/>
    <w:rsid w:val="00F02FEA"/>
    <w:rsid w:val="00F03153"/>
    <w:rsid w:val="00F03BE0"/>
    <w:rsid w:val="00F05B48"/>
    <w:rsid w:val="00F070BE"/>
    <w:rsid w:val="00F1105C"/>
    <w:rsid w:val="00F1249E"/>
    <w:rsid w:val="00F148C8"/>
    <w:rsid w:val="00F15468"/>
    <w:rsid w:val="00F15589"/>
    <w:rsid w:val="00F160B4"/>
    <w:rsid w:val="00F16DFF"/>
    <w:rsid w:val="00F17071"/>
    <w:rsid w:val="00F173A4"/>
    <w:rsid w:val="00F20831"/>
    <w:rsid w:val="00F20ACC"/>
    <w:rsid w:val="00F20E39"/>
    <w:rsid w:val="00F21053"/>
    <w:rsid w:val="00F22D95"/>
    <w:rsid w:val="00F23D93"/>
    <w:rsid w:val="00F24C3D"/>
    <w:rsid w:val="00F24F94"/>
    <w:rsid w:val="00F25041"/>
    <w:rsid w:val="00F25CD7"/>
    <w:rsid w:val="00F268DE"/>
    <w:rsid w:val="00F31BD9"/>
    <w:rsid w:val="00F31F60"/>
    <w:rsid w:val="00F3311A"/>
    <w:rsid w:val="00F366C6"/>
    <w:rsid w:val="00F40559"/>
    <w:rsid w:val="00F42C2A"/>
    <w:rsid w:val="00F4339C"/>
    <w:rsid w:val="00F437BF"/>
    <w:rsid w:val="00F45B09"/>
    <w:rsid w:val="00F46C03"/>
    <w:rsid w:val="00F47A0F"/>
    <w:rsid w:val="00F5069C"/>
    <w:rsid w:val="00F520C5"/>
    <w:rsid w:val="00F55AD0"/>
    <w:rsid w:val="00F579BC"/>
    <w:rsid w:val="00F6001E"/>
    <w:rsid w:val="00F605ED"/>
    <w:rsid w:val="00F60DB6"/>
    <w:rsid w:val="00F60E15"/>
    <w:rsid w:val="00F60F2F"/>
    <w:rsid w:val="00F61F73"/>
    <w:rsid w:val="00F62766"/>
    <w:rsid w:val="00F6281E"/>
    <w:rsid w:val="00F637E9"/>
    <w:rsid w:val="00F646FE"/>
    <w:rsid w:val="00F65A0E"/>
    <w:rsid w:val="00F66B12"/>
    <w:rsid w:val="00F72244"/>
    <w:rsid w:val="00F72342"/>
    <w:rsid w:val="00F72727"/>
    <w:rsid w:val="00F730C3"/>
    <w:rsid w:val="00F75415"/>
    <w:rsid w:val="00F75B3F"/>
    <w:rsid w:val="00F76987"/>
    <w:rsid w:val="00F805AA"/>
    <w:rsid w:val="00F807BD"/>
    <w:rsid w:val="00F808F8"/>
    <w:rsid w:val="00F809AB"/>
    <w:rsid w:val="00F81084"/>
    <w:rsid w:val="00F81BE1"/>
    <w:rsid w:val="00F825F1"/>
    <w:rsid w:val="00F82A67"/>
    <w:rsid w:val="00F82B49"/>
    <w:rsid w:val="00F835A0"/>
    <w:rsid w:val="00F848E8"/>
    <w:rsid w:val="00F84EF7"/>
    <w:rsid w:val="00F855B1"/>
    <w:rsid w:val="00F87032"/>
    <w:rsid w:val="00F87394"/>
    <w:rsid w:val="00F874BC"/>
    <w:rsid w:val="00F87E57"/>
    <w:rsid w:val="00F87EE3"/>
    <w:rsid w:val="00F92216"/>
    <w:rsid w:val="00F92E2C"/>
    <w:rsid w:val="00F94BDD"/>
    <w:rsid w:val="00F95C3D"/>
    <w:rsid w:val="00F9631C"/>
    <w:rsid w:val="00F96EE3"/>
    <w:rsid w:val="00FA0BBE"/>
    <w:rsid w:val="00FA1E04"/>
    <w:rsid w:val="00FA42BB"/>
    <w:rsid w:val="00FA47A5"/>
    <w:rsid w:val="00FA47C5"/>
    <w:rsid w:val="00FA5ED3"/>
    <w:rsid w:val="00FA6088"/>
    <w:rsid w:val="00FA6CDF"/>
    <w:rsid w:val="00FA7497"/>
    <w:rsid w:val="00FB028E"/>
    <w:rsid w:val="00FB0E3E"/>
    <w:rsid w:val="00FB1716"/>
    <w:rsid w:val="00FB323F"/>
    <w:rsid w:val="00FB3576"/>
    <w:rsid w:val="00FB408F"/>
    <w:rsid w:val="00FB4ACE"/>
    <w:rsid w:val="00FB4F30"/>
    <w:rsid w:val="00FB5285"/>
    <w:rsid w:val="00FB5D0F"/>
    <w:rsid w:val="00FB66AB"/>
    <w:rsid w:val="00FB74F3"/>
    <w:rsid w:val="00FC2DC6"/>
    <w:rsid w:val="00FC554F"/>
    <w:rsid w:val="00FC5C8A"/>
    <w:rsid w:val="00FC6AB6"/>
    <w:rsid w:val="00FC71AD"/>
    <w:rsid w:val="00FD00CE"/>
    <w:rsid w:val="00FD05CC"/>
    <w:rsid w:val="00FD173C"/>
    <w:rsid w:val="00FD1766"/>
    <w:rsid w:val="00FD1F7C"/>
    <w:rsid w:val="00FD2173"/>
    <w:rsid w:val="00FD273D"/>
    <w:rsid w:val="00FD2860"/>
    <w:rsid w:val="00FD35C3"/>
    <w:rsid w:val="00FD44AF"/>
    <w:rsid w:val="00FD5162"/>
    <w:rsid w:val="00FD71EF"/>
    <w:rsid w:val="00FD74F7"/>
    <w:rsid w:val="00FD7672"/>
    <w:rsid w:val="00FE0B40"/>
    <w:rsid w:val="00FE253A"/>
    <w:rsid w:val="00FE50B1"/>
    <w:rsid w:val="00FE56AE"/>
    <w:rsid w:val="00FE58EF"/>
    <w:rsid w:val="00FE6DDB"/>
    <w:rsid w:val="00FE71A8"/>
    <w:rsid w:val="00FF2D57"/>
    <w:rsid w:val="00FF2F6A"/>
    <w:rsid w:val="00FF358A"/>
    <w:rsid w:val="00FF3A13"/>
    <w:rsid w:val="00FF3A98"/>
    <w:rsid w:val="00FF440A"/>
    <w:rsid w:val="00FF539B"/>
    <w:rsid w:val="00FF6EEA"/>
    <w:rsid w:val="00FF76E5"/>
    <w:rsid w:val="00FF7BCE"/>
    <w:rsid w:val="014903A9"/>
    <w:rsid w:val="01802A82"/>
    <w:rsid w:val="018D561B"/>
    <w:rsid w:val="02393535"/>
    <w:rsid w:val="02510BDC"/>
    <w:rsid w:val="02687442"/>
    <w:rsid w:val="02AC21EF"/>
    <w:rsid w:val="02BB280A"/>
    <w:rsid w:val="02C93D1E"/>
    <w:rsid w:val="02EE64DC"/>
    <w:rsid w:val="02FE4919"/>
    <w:rsid w:val="030A2589"/>
    <w:rsid w:val="03156584"/>
    <w:rsid w:val="0356048A"/>
    <w:rsid w:val="036C6DAA"/>
    <w:rsid w:val="038B3DDC"/>
    <w:rsid w:val="03AC7B94"/>
    <w:rsid w:val="03B852DE"/>
    <w:rsid w:val="03BD58AF"/>
    <w:rsid w:val="04241DDC"/>
    <w:rsid w:val="044F2C20"/>
    <w:rsid w:val="04591355"/>
    <w:rsid w:val="045F7637"/>
    <w:rsid w:val="046B474E"/>
    <w:rsid w:val="048D5F88"/>
    <w:rsid w:val="048E0186"/>
    <w:rsid w:val="04D04473"/>
    <w:rsid w:val="04F16623"/>
    <w:rsid w:val="055A1E59"/>
    <w:rsid w:val="05662DC5"/>
    <w:rsid w:val="05802F92"/>
    <w:rsid w:val="058B2628"/>
    <w:rsid w:val="058E2E1C"/>
    <w:rsid w:val="05F851DA"/>
    <w:rsid w:val="065906F6"/>
    <w:rsid w:val="06603905"/>
    <w:rsid w:val="067C79B2"/>
    <w:rsid w:val="06D538C3"/>
    <w:rsid w:val="06E858D8"/>
    <w:rsid w:val="06EF128F"/>
    <w:rsid w:val="07036673"/>
    <w:rsid w:val="07304ED7"/>
    <w:rsid w:val="07B851BB"/>
    <w:rsid w:val="07C3354C"/>
    <w:rsid w:val="07EE56AF"/>
    <w:rsid w:val="081159AE"/>
    <w:rsid w:val="0842189C"/>
    <w:rsid w:val="087B7477"/>
    <w:rsid w:val="088E3F19"/>
    <w:rsid w:val="08C91775"/>
    <w:rsid w:val="08D17E86"/>
    <w:rsid w:val="09215687"/>
    <w:rsid w:val="09261B0E"/>
    <w:rsid w:val="09926C3F"/>
    <w:rsid w:val="09B90184"/>
    <w:rsid w:val="09C63C16"/>
    <w:rsid w:val="09CA66AD"/>
    <w:rsid w:val="09CF6AA4"/>
    <w:rsid w:val="09F04388"/>
    <w:rsid w:val="0A542580"/>
    <w:rsid w:val="0A696CA3"/>
    <w:rsid w:val="0A906B62"/>
    <w:rsid w:val="0A922065"/>
    <w:rsid w:val="0A9D03F6"/>
    <w:rsid w:val="0AC6703C"/>
    <w:rsid w:val="0ACD6B4B"/>
    <w:rsid w:val="0AE443EE"/>
    <w:rsid w:val="0AF44688"/>
    <w:rsid w:val="0B044923"/>
    <w:rsid w:val="0B3705F5"/>
    <w:rsid w:val="0B4A1814"/>
    <w:rsid w:val="0B5F5F36"/>
    <w:rsid w:val="0B7E0D69"/>
    <w:rsid w:val="0BC10559"/>
    <w:rsid w:val="0BDB587F"/>
    <w:rsid w:val="0BE4618F"/>
    <w:rsid w:val="0C2F0B8D"/>
    <w:rsid w:val="0C31628E"/>
    <w:rsid w:val="0C6A31C8"/>
    <w:rsid w:val="0C867AFA"/>
    <w:rsid w:val="0CFF59E2"/>
    <w:rsid w:val="0D5A6FF5"/>
    <w:rsid w:val="0D616980"/>
    <w:rsid w:val="0D755621"/>
    <w:rsid w:val="0D8E7E76"/>
    <w:rsid w:val="0DC950AB"/>
    <w:rsid w:val="0DD53279"/>
    <w:rsid w:val="0DD805F8"/>
    <w:rsid w:val="0DE15FD5"/>
    <w:rsid w:val="0DF471F4"/>
    <w:rsid w:val="0E0A3916"/>
    <w:rsid w:val="0E4905C4"/>
    <w:rsid w:val="0E7B7259"/>
    <w:rsid w:val="0E9C237C"/>
    <w:rsid w:val="0EA147F0"/>
    <w:rsid w:val="0EE3104E"/>
    <w:rsid w:val="0FBC7529"/>
    <w:rsid w:val="10173C5F"/>
    <w:rsid w:val="1087752D"/>
    <w:rsid w:val="10A443EF"/>
    <w:rsid w:val="10B14AEE"/>
    <w:rsid w:val="10B9797C"/>
    <w:rsid w:val="10BB2E7F"/>
    <w:rsid w:val="10BC4184"/>
    <w:rsid w:val="10E47E35"/>
    <w:rsid w:val="11B40E99"/>
    <w:rsid w:val="11CE37D9"/>
    <w:rsid w:val="11FB708E"/>
    <w:rsid w:val="122D39A7"/>
    <w:rsid w:val="12573F25"/>
    <w:rsid w:val="12576123"/>
    <w:rsid w:val="126B2BC5"/>
    <w:rsid w:val="127A31E0"/>
    <w:rsid w:val="128C30FA"/>
    <w:rsid w:val="129F7B9C"/>
    <w:rsid w:val="12AB5BAD"/>
    <w:rsid w:val="133D1F91"/>
    <w:rsid w:val="135C34A1"/>
    <w:rsid w:val="13806E8A"/>
    <w:rsid w:val="139129A8"/>
    <w:rsid w:val="13A42445"/>
    <w:rsid w:val="13A9004F"/>
    <w:rsid w:val="13BE4771"/>
    <w:rsid w:val="13C10F79"/>
    <w:rsid w:val="13C306F5"/>
    <w:rsid w:val="141476FE"/>
    <w:rsid w:val="14666EA3"/>
    <w:rsid w:val="14C57522"/>
    <w:rsid w:val="14ED2C64"/>
    <w:rsid w:val="150C7E0F"/>
    <w:rsid w:val="152662C1"/>
    <w:rsid w:val="152B069E"/>
    <w:rsid w:val="1542490B"/>
    <w:rsid w:val="15433673"/>
    <w:rsid w:val="156F1C7D"/>
    <w:rsid w:val="157902CA"/>
    <w:rsid w:val="15861B5E"/>
    <w:rsid w:val="15894CE1"/>
    <w:rsid w:val="15A00999"/>
    <w:rsid w:val="15A83398"/>
    <w:rsid w:val="15BA5196"/>
    <w:rsid w:val="16352BFB"/>
    <w:rsid w:val="16603B42"/>
    <w:rsid w:val="16711372"/>
    <w:rsid w:val="16A909BC"/>
    <w:rsid w:val="16B70522"/>
    <w:rsid w:val="16D93709"/>
    <w:rsid w:val="16E62CC2"/>
    <w:rsid w:val="16E817A5"/>
    <w:rsid w:val="16F83FBE"/>
    <w:rsid w:val="1735515C"/>
    <w:rsid w:val="17753588"/>
    <w:rsid w:val="177B2F13"/>
    <w:rsid w:val="17AC56E7"/>
    <w:rsid w:val="17BD71FF"/>
    <w:rsid w:val="17D23921"/>
    <w:rsid w:val="17E75E45"/>
    <w:rsid w:val="17E838C7"/>
    <w:rsid w:val="17EA0FF5"/>
    <w:rsid w:val="17FC2567"/>
    <w:rsid w:val="182E3BF8"/>
    <w:rsid w:val="185773FE"/>
    <w:rsid w:val="18954CE4"/>
    <w:rsid w:val="189E1D70"/>
    <w:rsid w:val="18C1102B"/>
    <w:rsid w:val="18C2687D"/>
    <w:rsid w:val="18E90EEB"/>
    <w:rsid w:val="190B01A6"/>
    <w:rsid w:val="190D36A9"/>
    <w:rsid w:val="1923207E"/>
    <w:rsid w:val="194014CF"/>
    <w:rsid w:val="19584A22"/>
    <w:rsid w:val="19636636"/>
    <w:rsid w:val="1989619F"/>
    <w:rsid w:val="19977D8A"/>
    <w:rsid w:val="199A2538"/>
    <w:rsid w:val="199F5196"/>
    <w:rsid w:val="19C7635B"/>
    <w:rsid w:val="19ED7494"/>
    <w:rsid w:val="1A501737"/>
    <w:rsid w:val="1A516797"/>
    <w:rsid w:val="1AA37957"/>
    <w:rsid w:val="1AA524C6"/>
    <w:rsid w:val="1ABB0DE6"/>
    <w:rsid w:val="1B46204F"/>
    <w:rsid w:val="1B481CCF"/>
    <w:rsid w:val="1B5979EB"/>
    <w:rsid w:val="1B651481"/>
    <w:rsid w:val="1B67483D"/>
    <w:rsid w:val="1B927CDF"/>
    <w:rsid w:val="1B967850"/>
    <w:rsid w:val="1C151423"/>
    <w:rsid w:val="1C3C5A5F"/>
    <w:rsid w:val="1C664C2B"/>
    <w:rsid w:val="1C8D7DE8"/>
    <w:rsid w:val="1CB15A1E"/>
    <w:rsid w:val="1CE83979"/>
    <w:rsid w:val="1CF94F18"/>
    <w:rsid w:val="1D0048A1"/>
    <w:rsid w:val="1D1B717E"/>
    <w:rsid w:val="1D3F7C0B"/>
    <w:rsid w:val="1DA2662B"/>
    <w:rsid w:val="1E405230"/>
    <w:rsid w:val="1E6A6074"/>
    <w:rsid w:val="1EB14C01"/>
    <w:rsid w:val="1ED66A28"/>
    <w:rsid w:val="1EEA1C7D"/>
    <w:rsid w:val="1F0152EE"/>
    <w:rsid w:val="1F073974"/>
    <w:rsid w:val="1F127786"/>
    <w:rsid w:val="1F6D241E"/>
    <w:rsid w:val="1F75782B"/>
    <w:rsid w:val="1F7B770A"/>
    <w:rsid w:val="1F857AC5"/>
    <w:rsid w:val="1FA060F1"/>
    <w:rsid w:val="1FA11974"/>
    <w:rsid w:val="1FB11C0E"/>
    <w:rsid w:val="1FCE0D42"/>
    <w:rsid w:val="2000198D"/>
    <w:rsid w:val="202B5082"/>
    <w:rsid w:val="20387569"/>
    <w:rsid w:val="203C17F2"/>
    <w:rsid w:val="20A25058"/>
    <w:rsid w:val="20B95CC0"/>
    <w:rsid w:val="210F440A"/>
    <w:rsid w:val="21143A54"/>
    <w:rsid w:val="21380790"/>
    <w:rsid w:val="21585442"/>
    <w:rsid w:val="21787EF5"/>
    <w:rsid w:val="219F5BB6"/>
    <w:rsid w:val="21A26B3B"/>
    <w:rsid w:val="21A469EA"/>
    <w:rsid w:val="21CA447C"/>
    <w:rsid w:val="220D61EA"/>
    <w:rsid w:val="221873EB"/>
    <w:rsid w:val="228A48BA"/>
    <w:rsid w:val="22ED6B5D"/>
    <w:rsid w:val="2301049F"/>
    <w:rsid w:val="23150C1B"/>
    <w:rsid w:val="2363679C"/>
    <w:rsid w:val="239A46F7"/>
    <w:rsid w:val="23A04402"/>
    <w:rsid w:val="23A27905"/>
    <w:rsid w:val="23AC2413"/>
    <w:rsid w:val="23AD7E95"/>
    <w:rsid w:val="23B1689B"/>
    <w:rsid w:val="23B21D9E"/>
    <w:rsid w:val="23C7765C"/>
    <w:rsid w:val="23D24851"/>
    <w:rsid w:val="246266BF"/>
    <w:rsid w:val="24847EF8"/>
    <w:rsid w:val="24990D97"/>
    <w:rsid w:val="24D6667D"/>
    <w:rsid w:val="25396722"/>
    <w:rsid w:val="25AA1ED9"/>
    <w:rsid w:val="25B65CEB"/>
    <w:rsid w:val="25C27580"/>
    <w:rsid w:val="25D02118"/>
    <w:rsid w:val="25E60A39"/>
    <w:rsid w:val="26446854"/>
    <w:rsid w:val="26451C5C"/>
    <w:rsid w:val="264C4960"/>
    <w:rsid w:val="26644B8A"/>
    <w:rsid w:val="269975E3"/>
    <w:rsid w:val="273670CA"/>
    <w:rsid w:val="27765CCC"/>
    <w:rsid w:val="27CB7955"/>
    <w:rsid w:val="27CD66DB"/>
    <w:rsid w:val="27DD30F2"/>
    <w:rsid w:val="280B1A43"/>
    <w:rsid w:val="282F7679"/>
    <w:rsid w:val="28443D9B"/>
    <w:rsid w:val="286768D9"/>
    <w:rsid w:val="287E2C7B"/>
    <w:rsid w:val="28A066B3"/>
    <w:rsid w:val="290B4B9E"/>
    <w:rsid w:val="292A6617"/>
    <w:rsid w:val="292E14FB"/>
    <w:rsid w:val="29765412"/>
    <w:rsid w:val="297C731B"/>
    <w:rsid w:val="298E3AE6"/>
    <w:rsid w:val="29A30860"/>
    <w:rsid w:val="29A71464"/>
    <w:rsid w:val="29EE1BD8"/>
    <w:rsid w:val="2A0A5C85"/>
    <w:rsid w:val="2A16751A"/>
    <w:rsid w:val="2A394109"/>
    <w:rsid w:val="2AD33150"/>
    <w:rsid w:val="2AE00267"/>
    <w:rsid w:val="2AFD3F94"/>
    <w:rsid w:val="2AFE0E99"/>
    <w:rsid w:val="2B5015B8"/>
    <w:rsid w:val="2B547498"/>
    <w:rsid w:val="2BA769AB"/>
    <w:rsid w:val="2C1C21ED"/>
    <w:rsid w:val="2C2D4686"/>
    <w:rsid w:val="2C413326"/>
    <w:rsid w:val="2C7A0008"/>
    <w:rsid w:val="2C9021AC"/>
    <w:rsid w:val="2C9B053D"/>
    <w:rsid w:val="2CA12446"/>
    <w:rsid w:val="2CAC6259"/>
    <w:rsid w:val="2D07566E"/>
    <w:rsid w:val="2D0F04FC"/>
    <w:rsid w:val="2D52226A"/>
    <w:rsid w:val="2D626C81"/>
    <w:rsid w:val="2D653489"/>
    <w:rsid w:val="2D6A408E"/>
    <w:rsid w:val="2D7711A5"/>
    <w:rsid w:val="2D946557"/>
    <w:rsid w:val="2DCF1834"/>
    <w:rsid w:val="2DF20090"/>
    <w:rsid w:val="2E4140F1"/>
    <w:rsid w:val="2E4814FD"/>
    <w:rsid w:val="2E4D4BFE"/>
    <w:rsid w:val="2E930558"/>
    <w:rsid w:val="2EA84D9A"/>
    <w:rsid w:val="2EB156AA"/>
    <w:rsid w:val="2EC56A2C"/>
    <w:rsid w:val="2ECC42F9"/>
    <w:rsid w:val="2EE5158E"/>
    <w:rsid w:val="2EFA1321"/>
    <w:rsid w:val="2F5D35C4"/>
    <w:rsid w:val="2FBD105F"/>
    <w:rsid w:val="2FD7548C"/>
    <w:rsid w:val="2FD9098F"/>
    <w:rsid w:val="30234286"/>
    <w:rsid w:val="302C2998"/>
    <w:rsid w:val="308568A9"/>
    <w:rsid w:val="30E07EBD"/>
    <w:rsid w:val="30EF26D5"/>
    <w:rsid w:val="310B6782"/>
    <w:rsid w:val="313400E8"/>
    <w:rsid w:val="314011DB"/>
    <w:rsid w:val="315D2D09"/>
    <w:rsid w:val="3197546D"/>
    <w:rsid w:val="319E506F"/>
    <w:rsid w:val="321D3148"/>
    <w:rsid w:val="32467C75"/>
    <w:rsid w:val="326203B9"/>
    <w:rsid w:val="327921DC"/>
    <w:rsid w:val="32C25E54"/>
    <w:rsid w:val="32C835E0"/>
    <w:rsid w:val="32C87D5D"/>
    <w:rsid w:val="32F9052C"/>
    <w:rsid w:val="332E2F85"/>
    <w:rsid w:val="335950CE"/>
    <w:rsid w:val="336B2DEA"/>
    <w:rsid w:val="33AB1655"/>
    <w:rsid w:val="33AB5AB0"/>
    <w:rsid w:val="341A770A"/>
    <w:rsid w:val="34297E8A"/>
    <w:rsid w:val="3458743C"/>
    <w:rsid w:val="346E1392"/>
    <w:rsid w:val="34774220"/>
    <w:rsid w:val="34987FD8"/>
    <w:rsid w:val="34A12E66"/>
    <w:rsid w:val="34B0567F"/>
    <w:rsid w:val="350A1211"/>
    <w:rsid w:val="35AA111A"/>
    <w:rsid w:val="35C03BC7"/>
    <w:rsid w:val="35CC2CDB"/>
    <w:rsid w:val="35D62D6A"/>
    <w:rsid w:val="35DE1E40"/>
    <w:rsid w:val="35E5362B"/>
    <w:rsid w:val="35F36F90"/>
    <w:rsid w:val="35FD5321"/>
    <w:rsid w:val="36227ADF"/>
    <w:rsid w:val="36430014"/>
    <w:rsid w:val="36890788"/>
    <w:rsid w:val="36985520"/>
    <w:rsid w:val="36E36898"/>
    <w:rsid w:val="36E96223"/>
    <w:rsid w:val="36FA1D41"/>
    <w:rsid w:val="37227682"/>
    <w:rsid w:val="37553354"/>
    <w:rsid w:val="37635EED"/>
    <w:rsid w:val="3781549D"/>
    <w:rsid w:val="378E0646"/>
    <w:rsid w:val="37907CB6"/>
    <w:rsid w:val="37F81C64"/>
    <w:rsid w:val="37F976E5"/>
    <w:rsid w:val="38103A87"/>
    <w:rsid w:val="38356245"/>
    <w:rsid w:val="385A0A04"/>
    <w:rsid w:val="38774730"/>
    <w:rsid w:val="388E7BD9"/>
    <w:rsid w:val="389D4970"/>
    <w:rsid w:val="38E5755F"/>
    <w:rsid w:val="3998008B"/>
    <w:rsid w:val="39D4246E"/>
    <w:rsid w:val="39F871AB"/>
    <w:rsid w:val="3A012039"/>
    <w:rsid w:val="3A1B4DE1"/>
    <w:rsid w:val="3A242CF2"/>
    <w:rsid w:val="3A4F1DB8"/>
    <w:rsid w:val="3A733932"/>
    <w:rsid w:val="3A78375F"/>
    <w:rsid w:val="3AE93919"/>
    <w:rsid w:val="3AEE1B81"/>
    <w:rsid w:val="3B387B37"/>
    <w:rsid w:val="3BBD1F8F"/>
    <w:rsid w:val="3C2029BF"/>
    <w:rsid w:val="3C535D05"/>
    <w:rsid w:val="3C5A3D4D"/>
    <w:rsid w:val="3CF01087"/>
    <w:rsid w:val="3D363D7A"/>
    <w:rsid w:val="3D454394"/>
    <w:rsid w:val="3D8F5C29"/>
    <w:rsid w:val="3DBC52D8"/>
    <w:rsid w:val="3DC426E4"/>
    <w:rsid w:val="3E094717"/>
    <w:rsid w:val="3E18216E"/>
    <w:rsid w:val="3E2F1585"/>
    <w:rsid w:val="3E452330"/>
    <w:rsid w:val="3E5654D6"/>
    <w:rsid w:val="3E5B195E"/>
    <w:rsid w:val="3E75776D"/>
    <w:rsid w:val="3E8E1DAD"/>
    <w:rsid w:val="3E936234"/>
    <w:rsid w:val="3E962A3C"/>
    <w:rsid w:val="3EEC4546"/>
    <w:rsid w:val="3EF90D3B"/>
    <w:rsid w:val="3F071A76"/>
    <w:rsid w:val="3F104904"/>
    <w:rsid w:val="3F374E85"/>
    <w:rsid w:val="3F604330"/>
    <w:rsid w:val="3F65658D"/>
    <w:rsid w:val="3F7276BC"/>
    <w:rsid w:val="3F9C44E8"/>
    <w:rsid w:val="3FBD249F"/>
    <w:rsid w:val="402F0E0B"/>
    <w:rsid w:val="40543C97"/>
    <w:rsid w:val="40720CC9"/>
    <w:rsid w:val="409F0893"/>
    <w:rsid w:val="40CD21EF"/>
    <w:rsid w:val="40F3031D"/>
    <w:rsid w:val="40F55A1F"/>
    <w:rsid w:val="41101E4C"/>
    <w:rsid w:val="411A21B8"/>
    <w:rsid w:val="41325883"/>
    <w:rsid w:val="413E364C"/>
    <w:rsid w:val="414F3DD1"/>
    <w:rsid w:val="415512BB"/>
    <w:rsid w:val="41B44B58"/>
    <w:rsid w:val="41BE5467"/>
    <w:rsid w:val="41C837F8"/>
    <w:rsid w:val="420F3F6D"/>
    <w:rsid w:val="42112CF3"/>
    <w:rsid w:val="421361F6"/>
    <w:rsid w:val="42232740"/>
    <w:rsid w:val="42354895"/>
    <w:rsid w:val="425A0B69"/>
    <w:rsid w:val="428B1338"/>
    <w:rsid w:val="42941C47"/>
    <w:rsid w:val="42DA01BE"/>
    <w:rsid w:val="42FE1CFC"/>
    <w:rsid w:val="43012D46"/>
    <w:rsid w:val="43374CD4"/>
    <w:rsid w:val="4351587E"/>
    <w:rsid w:val="4362139B"/>
    <w:rsid w:val="4364101B"/>
    <w:rsid w:val="438A4ADE"/>
    <w:rsid w:val="43973DF4"/>
    <w:rsid w:val="43B3461E"/>
    <w:rsid w:val="43CC2FC9"/>
    <w:rsid w:val="448F0B09"/>
    <w:rsid w:val="44911354"/>
    <w:rsid w:val="44E8249C"/>
    <w:rsid w:val="44FB36BB"/>
    <w:rsid w:val="45423E2F"/>
    <w:rsid w:val="45497B97"/>
    <w:rsid w:val="455C6BD8"/>
    <w:rsid w:val="457C4F0E"/>
    <w:rsid w:val="458E252F"/>
    <w:rsid w:val="45A32BCF"/>
    <w:rsid w:val="45C74089"/>
    <w:rsid w:val="45CF1DE0"/>
    <w:rsid w:val="45FB105F"/>
    <w:rsid w:val="45FD6761"/>
    <w:rsid w:val="45FF11BD"/>
    <w:rsid w:val="46165B13"/>
    <w:rsid w:val="462753A7"/>
    <w:rsid w:val="46614287"/>
    <w:rsid w:val="466A1313"/>
    <w:rsid w:val="466F579B"/>
    <w:rsid w:val="46936C54"/>
    <w:rsid w:val="46980B5E"/>
    <w:rsid w:val="46B04006"/>
    <w:rsid w:val="46B9747D"/>
    <w:rsid w:val="46E147D5"/>
    <w:rsid w:val="46E67AD1"/>
    <w:rsid w:val="47120827"/>
    <w:rsid w:val="474B2243"/>
    <w:rsid w:val="474F288B"/>
    <w:rsid w:val="4763732D"/>
    <w:rsid w:val="478D5F73"/>
    <w:rsid w:val="47D56367"/>
    <w:rsid w:val="47F05692"/>
    <w:rsid w:val="481A57D7"/>
    <w:rsid w:val="484511E0"/>
    <w:rsid w:val="487A2C8A"/>
    <w:rsid w:val="48C0506B"/>
    <w:rsid w:val="48C9597A"/>
    <w:rsid w:val="492C439A"/>
    <w:rsid w:val="495A4904"/>
    <w:rsid w:val="495B1666"/>
    <w:rsid w:val="495D4B69"/>
    <w:rsid w:val="49843D7A"/>
    <w:rsid w:val="498615B1"/>
    <w:rsid w:val="49BA2D04"/>
    <w:rsid w:val="49F650E8"/>
    <w:rsid w:val="4A03697C"/>
    <w:rsid w:val="4A0F0210"/>
    <w:rsid w:val="4A133393"/>
    <w:rsid w:val="4A531BFE"/>
    <w:rsid w:val="4A603492"/>
    <w:rsid w:val="4A6E0229"/>
    <w:rsid w:val="4A950F5E"/>
    <w:rsid w:val="4AC779BE"/>
    <w:rsid w:val="4AD06A63"/>
    <w:rsid w:val="4AE536EB"/>
    <w:rsid w:val="4B397AF7"/>
    <w:rsid w:val="4B471E57"/>
    <w:rsid w:val="4B493410"/>
    <w:rsid w:val="4B691746"/>
    <w:rsid w:val="4B7C2965"/>
    <w:rsid w:val="4B9462BF"/>
    <w:rsid w:val="4BAC0F36"/>
    <w:rsid w:val="4BC73CDE"/>
    <w:rsid w:val="4BEF7421"/>
    <w:rsid w:val="4C0D2254"/>
    <w:rsid w:val="4C3F04A5"/>
    <w:rsid w:val="4C695FA4"/>
    <w:rsid w:val="4C89181E"/>
    <w:rsid w:val="4C8C27A2"/>
    <w:rsid w:val="4CAD7EB1"/>
    <w:rsid w:val="4CB2436E"/>
    <w:rsid w:val="4CE40C32"/>
    <w:rsid w:val="4CE71BB7"/>
    <w:rsid w:val="4D175F8A"/>
    <w:rsid w:val="4D517068"/>
    <w:rsid w:val="4D604A1E"/>
    <w:rsid w:val="4D8F52E3"/>
    <w:rsid w:val="4DB95793"/>
    <w:rsid w:val="4DEC1465"/>
    <w:rsid w:val="4DFD5EE5"/>
    <w:rsid w:val="4EDA1A00"/>
    <w:rsid w:val="4EDD2072"/>
    <w:rsid w:val="4F1869D4"/>
    <w:rsid w:val="4F267EE8"/>
    <w:rsid w:val="4F2711ED"/>
    <w:rsid w:val="4F3B460A"/>
    <w:rsid w:val="4F454F19"/>
    <w:rsid w:val="4F473291"/>
    <w:rsid w:val="4F7D08F7"/>
    <w:rsid w:val="4F836083"/>
    <w:rsid w:val="4FB1204A"/>
    <w:rsid w:val="4FCE0BB2"/>
    <w:rsid w:val="4FEE5732"/>
    <w:rsid w:val="4FF65A0B"/>
    <w:rsid w:val="50186577"/>
    <w:rsid w:val="501C4F7D"/>
    <w:rsid w:val="50234908"/>
    <w:rsid w:val="509129BD"/>
    <w:rsid w:val="50B057F0"/>
    <w:rsid w:val="50B15470"/>
    <w:rsid w:val="50B43F60"/>
    <w:rsid w:val="50E0053E"/>
    <w:rsid w:val="511B1067"/>
    <w:rsid w:val="512D063D"/>
    <w:rsid w:val="513D08D8"/>
    <w:rsid w:val="514D5984"/>
    <w:rsid w:val="51575BFE"/>
    <w:rsid w:val="517819B6"/>
    <w:rsid w:val="51AC698D"/>
    <w:rsid w:val="51F73589"/>
    <w:rsid w:val="520F53AD"/>
    <w:rsid w:val="52114133"/>
    <w:rsid w:val="522E5C61"/>
    <w:rsid w:val="5277735B"/>
    <w:rsid w:val="52AA68B0"/>
    <w:rsid w:val="52B87DC4"/>
    <w:rsid w:val="52BB0D49"/>
    <w:rsid w:val="52EF5D1F"/>
    <w:rsid w:val="532D3606"/>
    <w:rsid w:val="5346672E"/>
    <w:rsid w:val="53E50D5A"/>
    <w:rsid w:val="53FA74D7"/>
    <w:rsid w:val="54032364"/>
    <w:rsid w:val="54396FBB"/>
    <w:rsid w:val="54AA3DF7"/>
    <w:rsid w:val="54B15980"/>
    <w:rsid w:val="54D75BC0"/>
    <w:rsid w:val="54E164CF"/>
    <w:rsid w:val="54EB4860"/>
    <w:rsid w:val="553B2061"/>
    <w:rsid w:val="556E0D3E"/>
    <w:rsid w:val="5590756D"/>
    <w:rsid w:val="55B6522E"/>
    <w:rsid w:val="56052DAF"/>
    <w:rsid w:val="562532E3"/>
    <w:rsid w:val="565F354D"/>
    <w:rsid w:val="5677786A"/>
    <w:rsid w:val="56787D55"/>
    <w:rsid w:val="56A26130"/>
    <w:rsid w:val="56AD7D44"/>
    <w:rsid w:val="56B31C4E"/>
    <w:rsid w:val="56CB72F5"/>
    <w:rsid w:val="571F0F7D"/>
    <w:rsid w:val="57376624"/>
    <w:rsid w:val="573840A5"/>
    <w:rsid w:val="57B35F6D"/>
    <w:rsid w:val="57EA774C"/>
    <w:rsid w:val="58013AEE"/>
    <w:rsid w:val="581B1F9F"/>
    <w:rsid w:val="583F4C58"/>
    <w:rsid w:val="586D6AC4"/>
    <w:rsid w:val="58717625"/>
    <w:rsid w:val="58D376CA"/>
    <w:rsid w:val="5920540A"/>
    <w:rsid w:val="59222CCC"/>
    <w:rsid w:val="59360A66"/>
    <w:rsid w:val="599A5E0E"/>
    <w:rsid w:val="599B5C81"/>
    <w:rsid w:val="59AA0627"/>
    <w:rsid w:val="59C0134E"/>
    <w:rsid w:val="59D949F9"/>
    <w:rsid w:val="59DB4679"/>
    <w:rsid w:val="59E572C5"/>
    <w:rsid w:val="5A260754"/>
    <w:rsid w:val="5A2B6183"/>
    <w:rsid w:val="5A317606"/>
    <w:rsid w:val="5A48722B"/>
    <w:rsid w:val="5A5907CA"/>
    <w:rsid w:val="5A664EE2"/>
    <w:rsid w:val="5B1E180D"/>
    <w:rsid w:val="5B5359C2"/>
    <w:rsid w:val="5BEE6662"/>
    <w:rsid w:val="5C044743"/>
    <w:rsid w:val="5CA11989"/>
    <w:rsid w:val="5CA4708A"/>
    <w:rsid w:val="5CC1443C"/>
    <w:rsid w:val="5CC3793F"/>
    <w:rsid w:val="5D1F2257"/>
    <w:rsid w:val="5D305745"/>
    <w:rsid w:val="5D346979"/>
    <w:rsid w:val="5D4F07BF"/>
    <w:rsid w:val="5D7054D9"/>
    <w:rsid w:val="5D75318A"/>
    <w:rsid w:val="5D934795"/>
    <w:rsid w:val="5D9D2B26"/>
    <w:rsid w:val="5DC02ACF"/>
    <w:rsid w:val="5DDC260A"/>
    <w:rsid w:val="5E0F055D"/>
    <w:rsid w:val="5E6934F3"/>
    <w:rsid w:val="5ED40CF3"/>
    <w:rsid w:val="5EDF3132"/>
    <w:rsid w:val="5EE353BB"/>
    <w:rsid w:val="5F0A5F38"/>
    <w:rsid w:val="5F420C58"/>
    <w:rsid w:val="5F456359"/>
    <w:rsid w:val="5FEF0BE4"/>
    <w:rsid w:val="5FFF488E"/>
    <w:rsid w:val="601345B5"/>
    <w:rsid w:val="60C06ECB"/>
    <w:rsid w:val="611F6EE4"/>
    <w:rsid w:val="612620F2"/>
    <w:rsid w:val="6165332E"/>
    <w:rsid w:val="6171029D"/>
    <w:rsid w:val="61811507"/>
    <w:rsid w:val="61984CFE"/>
    <w:rsid w:val="61A65EC3"/>
    <w:rsid w:val="61AF0D51"/>
    <w:rsid w:val="61B92332"/>
    <w:rsid w:val="61E35D28"/>
    <w:rsid w:val="61EB3135"/>
    <w:rsid w:val="620B3669"/>
    <w:rsid w:val="62261C95"/>
    <w:rsid w:val="623F2BBF"/>
    <w:rsid w:val="62490F50"/>
    <w:rsid w:val="62674C7D"/>
    <w:rsid w:val="62A060DB"/>
    <w:rsid w:val="630073FA"/>
    <w:rsid w:val="630C6A8F"/>
    <w:rsid w:val="633A62DA"/>
    <w:rsid w:val="63403917"/>
    <w:rsid w:val="638763D9"/>
    <w:rsid w:val="638A155C"/>
    <w:rsid w:val="63AE6947"/>
    <w:rsid w:val="63CB7DC7"/>
    <w:rsid w:val="63F1206F"/>
    <w:rsid w:val="64526DA7"/>
    <w:rsid w:val="647B5447"/>
    <w:rsid w:val="647C4368"/>
    <w:rsid w:val="648F19E5"/>
    <w:rsid w:val="64CD2E6D"/>
    <w:rsid w:val="64D272F5"/>
    <w:rsid w:val="64D339C9"/>
    <w:rsid w:val="652C450B"/>
    <w:rsid w:val="65385D9F"/>
    <w:rsid w:val="653D69A4"/>
    <w:rsid w:val="65441BB2"/>
    <w:rsid w:val="654A3B69"/>
    <w:rsid w:val="65571CC6"/>
    <w:rsid w:val="65636BE4"/>
    <w:rsid w:val="657213FC"/>
    <w:rsid w:val="65736FA3"/>
    <w:rsid w:val="65744900"/>
    <w:rsid w:val="65821697"/>
    <w:rsid w:val="65865E9F"/>
    <w:rsid w:val="65C37F02"/>
    <w:rsid w:val="65CF415A"/>
    <w:rsid w:val="660541EF"/>
    <w:rsid w:val="66123504"/>
    <w:rsid w:val="663911C6"/>
    <w:rsid w:val="669D5667"/>
    <w:rsid w:val="66CD03B4"/>
    <w:rsid w:val="66D97A4A"/>
    <w:rsid w:val="66EA5766"/>
    <w:rsid w:val="6777664F"/>
    <w:rsid w:val="67982211"/>
    <w:rsid w:val="67AE67A9"/>
    <w:rsid w:val="67D40C4A"/>
    <w:rsid w:val="67F4369A"/>
    <w:rsid w:val="68026233"/>
    <w:rsid w:val="680D74C2"/>
    <w:rsid w:val="68133F4F"/>
    <w:rsid w:val="68370C8B"/>
    <w:rsid w:val="6883407C"/>
    <w:rsid w:val="688B4E92"/>
    <w:rsid w:val="68D17269"/>
    <w:rsid w:val="693C1376"/>
    <w:rsid w:val="693D2737"/>
    <w:rsid w:val="694B1A4D"/>
    <w:rsid w:val="696B7D83"/>
    <w:rsid w:val="696C7A03"/>
    <w:rsid w:val="698718B2"/>
    <w:rsid w:val="69AA52EA"/>
    <w:rsid w:val="69BC5ADA"/>
    <w:rsid w:val="69D17D2D"/>
    <w:rsid w:val="69F369E3"/>
    <w:rsid w:val="6A1A1CC5"/>
    <w:rsid w:val="6A4365BB"/>
    <w:rsid w:val="6A570C85"/>
    <w:rsid w:val="6A752434"/>
    <w:rsid w:val="6A7C1DBF"/>
    <w:rsid w:val="6AA9740B"/>
    <w:rsid w:val="6AB954A7"/>
    <w:rsid w:val="6ABE3B2D"/>
    <w:rsid w:val="6AEF5DBA"/>
    <w:rsid w:val="6AFC1413"/>
    <w:rsid w:val="6B0B1A2E"/>
    <w:rsid w:val="6B977093"/>
    <w:rsid w:val="6BA87763"/>
    <w:rsid w:val="6BB021BC"/>
    <w:rsid w:val="6BCB406A"/>
    <w:rsid w:val="6BFB3534"/>
    <w:rsid w:val="6C2B4084"/>
    <w:rsid w:val="6C355C98"/>
    <w:rsid w:val="6C403136"/>
    <w:rsid w:val="6C637A61"/>
    <w:rsid w:val="6C7D5CBD"/>
    <w:rsid w:val="6C9364E8"/>
    <w:rsid w:val="6C940230"/>
    <w:rsid w:val="6CB30AE5"/>
    <w:rsid w:val="6CBE76F7"/>
    <w:rsid w:val="6CCA085E"/>
    <w:rsid w:val="6D0262E5"/>
    <w:rsid w:val="6D05575E"/>
    <w:rsid w:val="6D771B27"/>
    <w:rsid w:val="6DDD4D4F"/>
    <w:rsid w:val="6DE25953"/>
    <w:rsid w:val="6E3C2B6A"/>
    <w:rsid w:val="6E637E94"/>
    <w:rsid w:val="6E8D4D9C"/>
    <w:rsid w:val="6EDF4571"/>
    <w:rsid w:val="6F1737D2"/>
    <w:rsid w:val="6F3068FA"/>
    <w:rsid w:val="6F441D17"/>
    <w:rsid w:val="6F83507F"/>
    <w:rsid w:val="6F997223"/>
    <w:rsid w:val="6FA14630"/>
    <w:rsid w:val="6FA97334"/>
    <w:rsid w:val="6FB33650"/>
    <w:rsid w:val="70394593"/>
    <w:rsid w:val="709C54F6"/>
    <w:rsid w:val="70C35A0C"/>
    <w:rsid w:val="70FB13E9"/>
    <w:rsid w:val="710245F7"/>
    <w:rsid w:val="711F502A"/>
    <w:rsid w:val="71255AB0"/>
    <w:rsid w:val="714F0E73"/>
    <w:rsid w:val="71637F56"/>
    <w:rsid w:val="719D0BF2"/>
    <w:rsid w:val="719F78C8"/>
    <w:rsid w:val="71C468B3"/>
    <w:rsid w:val="71C6563A"/>
    <w:rsid w:val="7241347A"/>
    <w:rsid w:val="72836B0D"/>
    <w:rsid w:val="72C35C4B"/>
    <w:rsid w:val="73011B3E"/>
    <w:rsid w:val="732B2982"/>
    <w:rsid w:val="73562045"/>
    <w:rsid w:val="73A81F4C"/>
    <w:rsid w:val="73C2417B"/>
    <w:rsid w:val="73C70D94"/>
    <w:rsid w:val="73DE2426"/>
    <w:rsid w:val="73E05929"/>
    <w:rsid w:val="741D578E"/>
    <w:rsid w:val="74350C36"/>
    <w:rsid w:val="743D29CD"/>
    <w:rsid w:val="745E3FF9"/>
    <w:rsid w:val="746074FC"/>
    <w:rsid w:val="74CD42AD"/>
    <w:rsid w:val="74FF3B82"/>
    <w:rsid w:val="75080816"/>
    <w:rsid w:val="751637A7"/>
    <w:rsid w:val="75186CAB"/>
    <w:rsid w:val="75822AD7"/>
    <w:rsid w:val="75C0369A"/>
    <w:rsid w:val="75EE7C07"/>
    <w:rsid w:val="760133A5"/>
    <w:rsid w:val="76407191"/>
    <w:rsid w:val="765E373E"/>
    <w:rsid w:val="7698261F"/>
    <w:rsid w:val="76993924"/>
    <w:rsid w:val="76A57736"/>
    <w:rsid w:val="770C0611"/>
    <w:rsid w:val="773B78A9"/>
    <w:rsid w:val="77594C5B"/>
    <w:rsid w:val="776D38FC"/>
    <w:rsid w:val="77835A9F"/>
    <w:rsid w:val="778848A8"/>
    <w:rsid w:val="77910638"/>
    <w:rsid w:val="77AC6C64"/>
    <w:rsid w:val="780922FE"/>
    <w:rsid w:val="781B279B"/>
    <w:rsid w:val="78337E41"/>
    <w:rsid w:val="787466AD"/>
    <w:rsid w:val="78761BB0"/>
    <w:rsid w:val="78925A1C"/>
    <w:rsid w:val="78F85111"/>
    <w:rsid w:val="790E68AB"/>
    <w:rsid w:val="795E792F"/>
    <w:rsid w:val="79813367"/>
    <w:rsid w:val="79B315B7"/>
    <w:rsid w:val="79C53679"/>
    <w:rsid w:val="79DD23FB"/>
    <w:rsid w:val="79F0141C"/>
    <w:rsid w:val="79FE2EF8"/>
    <w:rsid w:val="7A3E119B"/>
    <w:rsid w:val="7A3E6F9D"/>
    <w:rsid w:val="7A4665A8"/>
    <w:rsid w:val="7A5955C8"/>
    <w:rsid w:val="7A775386"/>
    <w:rsid w:val="7AC23B4A"/>
    <w:rsid w:val="7ACE1373"/>
    <w:rsid w:val="7B13027A"/>
    <w:rsid w:val="7B147D13"/>
    <w:rsid w:val="7B204BDE"/>
    <w:rsid w:val="7B671F02"/>
    <w:rsid w:val="7B9A1458"/>
    <w:rsid w:val="7BCE2BAB"/>
    <w:rsid w:val="7BDD7943"/>
    <w:rsid w:val="7BE372CE"/>
    <w:rsid w:val="7C716458"/>
    <w:rsid w:val="7C75463E"/>
    <w:rsid w:val="7CC678C0"/>
    <w:rsid w:val="7D1F7055"/>
    <w:rsid w:val="7D2D3DED"/>
    <w:rsid w:val="7D3468E3"/>
    <w:rsid w:val="7D3E77B4"/>
    <w:rsid w:val="7D4A591B"/>
    <w:rsid w:val="7D7776E4"/>
    <w:rsid w:val="7D7C73EF"/>
    <w:rsid w:val="7D990F1D"/>
    <w:rsid w:val="7DC14660"/>
    <w:rsid w:val="7E3251EA"/>
    <w:rsid w:val="7E3855A4"/>
    <w:rsid w:val="7E4E3EC4"/>
    <w:rsid w:val="7E820E9B"/>
    <w:rsid w:val="7E9A6542"/>
    <w:rsid w:val="7E9B0054"/>
    <w:rsid w:val="7EA23C4C"/>
    <w:rsid w:val="7EB34EED"/>
    <w:rsid w:val="7EC9380E"/>
    <w:rsid w:val="7EF768DB"/>
    <w:rsid w:val="7F042D8F"/>
    <w:rsid w:val="7F35093E"/>
    <w:rsid w:val="7F47795F"/>
    <w:rsid w:val="7F6266EC"/>
    <w:rsid w:val="7F691199"/>
    <w:rsid w:val="7F800DBE"/>
    <w:rsid w:val="7FAC376B"/>
    <w:rsid w:val="7FB80F18"/>
    <w:rsid w:val="7FFC2906"/>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1"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qFormat="1" w:unhideWhenUsed="0" w:uiPriority="99" w:semiHidden="0" w:name="Normal Indent"/>
    <w:lsdException w:unhideWhenUsed="0" w:uiPriority="99" w:semiHidden="0" w:name="footnote text"/>
    <w:lsdException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uiPriority="0" w:name="table of figures"/>
    <w:lsdException w:uiPriority="0" w:name="envelope address"/>
    <w:lsdException w:uiPriority="0" w:name="envelope return"/>
    <w:lsdException w:qFormat="1" w:unhideWhenUsed="0" w:uiPriority="99" w:semiHidden="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99" w:semiHidden="0" w:name="List"/>
    <w:lsdException w:uiPriority="0" w:name="List Bullet"/>
    <w:lsdException w:unhideWhenUsed="0" w:uiPriority="0" w:semiHidden="0" w:name="List Number"/>
    <w:lsdException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unhideWhenUsed="0" w:uiPriority="99" w:semiHidden="0" w:name="Body Text First Indent 2"/>
    <w:lsdException w:uiPriority="0" w:name="Note Heading"/>
    <w:lsdException w:unhideWhenUsed="0" w:uiPriority="99" w:semiHidden="0" w:name="Body Text 2"/>
    <w:lsdException w:uiPriority="0" w:name="Body Text 3"/>
    <w:lsdException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99" w:semiHidden="0" w:name="Emphasis"/>
    <w:lsdException w:unhideWhenUsed="0" w:uiPriority="99" w:semiHidden="0" w:name="Document Map"/>
    <w:lsdException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nhideWhenUsed="0"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99"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1"/>
    <w:qFormat/>
    <w:uiPriority w:val="99"/>
    <w:pPr>
      <w:keepNext/>
      <w:adjustRightInd w:val="0"/>
      <w:spacing w:line="312" w:lineRule="atLeast"/>
      <w:jc w:val="center"/>
      <w:textAlignment w:val="baseline"/>
      <w:outlineLvl w:val="0"/>
    </w:pPr>
    <w:rPr>
      <w:rFonts w:ascii="黑体" w:eastAsia="黑体"/>
      <w:kern w:val="0"/>
      <w:sz w:val="24"/>
    </w:rPr>
  </w:style>
  <w:style w:type="paragraph" w:styleId="3">
    <w:name w:val="heading 2"/>
    <w:basedOn w:val="1"/>
    <w:next w:val="1"/>
    <w:link w:val="108"/>
    <w:qFormat/>
    <w:uiPriority w:val="99"/>
    <w:pPr>
      <w:keepNext/>
      <w:keepLines/>
      <w:adjustRightInd w:val="0"/>
      <w:spacing w:before="260" w:after="260" w:line="416" w:lineRule="atLeast"/>
      <w:textAlignment w:val="baseline"/>
      <w:outlineLvl w:val="1"/>
    </w:pPr>
    <w:rPr>
      <w:rFonts w:ascii="Arial" w:hAnsi="宋体" w:eastAsia="黑体"/>
      <w:b/>
      <w:bCs/>
      <w:color w:val="000000"/>
      <w:kern w:val="0"/>
      <w:sz w:val="24"/>
    </w:rPr>
  </w:style>
  <w:style w:type="paragraph" w:styleId="4">
    <w:name w:val="heading 3"/>
    <w:basedOn w:val="1"/>
    <w:next w:val="1"/>
    <w:link w:val="144"/>
    <w:qFormat/>
    <w:uiPriority w:val="99"/>
    <w:pPr>
      <w:keepNext/>
      <w:keepLines/>
      <w:adjustRightInd w:val="0"/>
      <w:spacing w:line="300" w:lineRule="auto"/>
      <w:outlineLvl w:val="2"/>
    </w:pPr>
    <w:rPr>
      <w:rFonts w:ascii="宋体"/>
      <w:b/>
      <w:bCs/>
      <w:sz w:val="24"/>
    </w:rPr>
  </w:style>
  <w:style w:type="paragraph" w:styleId="5">
    <w:name w:val="heading 4"/>
    <w:basedOn w:val="1"/>
    <w:next w:val="1"/>
    <w:qFormat/>
    <w:uiPriority w:val="1"/>
    <w:pPr>
      <w:spacing w:before="197"/>
      <w:ind w:left="282" w:hanging="180"/>
      <w:outlineLvl w:val="3"/>
    </w:pPr>
    <w:rPr>
      <w:rFonts w:eastAsia="Times New Roman"/>
      <w:b/>
      <w:bCs/>
      <w:sz w:val="24"/>
    </w:rPr>
  </w:style>
  <w:style w:type="paragraph" w:styleId="6">
    <w:name w:val="heading 5"/>
    <w:basedOn w:val="1"/>
    <w:next w:val="1"/>
    <w:link w:val="134"/>
    <w:qFormat/>
    <w:uiPriority w:val="99"/>
    <w:pPr>
      <w:keepNext/>
      <w:keepLines/>
      <w:adjustRightInd w:val="0"/>
      <w:spacing w:before="280" w:after="290" w:line="376" w:lineRule="atLeast"/>
      <w:textAlignment w:val="baseline"/>
      <w:outlineLvl w:val="4"/>
    </w:pPr>
    <w:rPr>
      <w:b/>
      <w:bCs/>
      <w:kern w:val="0"/>
      <w:sz w:val="28"/>
      <w:szCs w:val="28"/>
    </w:rPr>
  </w:style>
  <w:style w:type="paragraph" w:styleId="7">
    <w:name w:val="heading 6"/>
    <w:basedOn w:val="1"/>
    <w:next w:val="1"/>
    <w:link w:val="125"/>
    <w:qFormat/>
    <w:uiPriority w:val="99"/>
    <w:pPr>
      <w:keepNext/>
      <w:keepLines/>
      <w:adjustRightInd w:val="0"/>
      <w:spacing w:before="240" w:after="64" w:line="320" w:lineRule="atLeast"/>
      <w:textAlignment w:val="baseline"/>
      <w:outlineLvl w:val="5"/>
    </w:pPr>
    <w:rPr>
      <w:rFonts w:ascii="Arial" w:hAnsi="Arial" w:eastAsia="黑体"/>
      <w:b/>
      <w:bCs/>
      <w:kern w:val="0"/>
      <w:sz w:val="24"/>
    </w:rPr>
  </w:style>
  <w:style w:type="paragraph" w:styleId="8">
    <w:name w:val="heading 7"/>
    <w:basedOn w:val="1"/>
    <w:next w:val="1"/>
    <w:link w:val="136"/>
    <w:qFormat/>
    <w:uiPriority w:val="99"/>
    <w:pPr>
      <w:keepNext/>
      <w:keepLines/>
      <w:adjustRightInd w:val="0"/>
      <w:spacing w:before="240" w:after="64" w:line="320" w:lineRule="atLeast"/>
      <w:textAlignment w:val="baseline"/>
      <w:outlineLvl w:val="6"/>
    </w:pPr>
    <w:rPr>
      <w:b/>
      <w:bCs/>
      <w:kern w:val="0"/>
      <w:sz w:val="24"/>
    </w:rPr>
  </w:style>
  <w:style w:type="paragraph" w:styleId="9">
    <w:name w:val="heading 8"/>
    <w:basedOn w:val="1"/>
    <w:next w:val="1"/>
    <w:link w:val="105"/>
    <w:qFormat/>
    <w:uiPriority w:val="99"/>
    <w:pPr>
      <w:keepNext/>
      <w:keepLines/>
      <w:adjustRightInd w:val="0"/>
      <w:spacing w:before="240" w:after="64" w:line="320" w:lineRule="atLeast"/>
      <w:textAlignment w:val="baseline"/>
      <w:outlineLvl w:val="7"/>
    </w:pPr>
    <w:rPr>
      <w:rFonts w:ascii="Arial" w:hAnsi="Arial" w:eastAsia="黑体"/>
      <w:kern w:val="0"/>
      <w:sz w:val="24"/>
    </w:rPr>
  </w:style>
  <w:style w:type="paragraph" w:styleId="10">
    <w:name w:val="heading 9"/>
    <w:basedOn w:val="1"/>
    <w:next w:val="1"/>
    <w:link w:val="120"/>
    <w:qFormat/>
    <w:uiPriority w:val="99"/>
    <w:pPr>
      <w:keepNext/>
      <w:keepLines/>
      <w:adjustRightInd w:val="0"/>
      <w:spacing w:before="240" w:after="64" w:line="320" w:lineRule="atLeast"/>
      <w:textAlignment w:val="baseline"/>
      <w:outlineLvl w:val="8"/>
    </w:pPr>
    <w:rPr>
      <w:rFonts w:ascii="Arial" w:hAnsi="Arial" w:eastAsia="黑体"/>
      <w:kern w:val="0"/>
      <w:szCs w:val="21"/>
    </w:rPr>
  </w:style>
  <w:style w:type="character" w:default="1" w:styleId="49">
    <w:name w:val="Default Paragraph Font"/>
    <w:unhideWhenUsed/>
    <w:uiPriority w:val="1"/>
  </w:style>
  <w:style w:type="table" w:default="1" w:styleId="55">
    <w:name w:val="Normal Table"/>
    <w:unhideWhenUsed/>
    <w:uiPriority w:val="99"/>
    <w:tblPr>
      <w:tblStyle w:val="55"/>
      <w:tblLayout w:type="fixed"/>
      <w:tblCellMar>
        <w:top w:w="0" w:type="dxa"/>
        <w:left w:w="108" w:type="dxa"/>
        <w:bottom w:w="0" w:type="dxa"/>
        <w:right w:w="108" w:type="dxa"/>
      </w:tblCellMar>
    </w:tblPr>
    <w:tcPr>
      <w:textDirection w:val="lrTb"/>
    </w:tcPr>
  </w:style>
  <w:style w:type="paragraph" w:styleId="11">
    <w:name w:val="List 3"/>
    <w:basedOn w:val="1"/>
    <w:qFormat/>
    <w:uiPriority w:val="99"/>
    <w:pPr>
      <w:adjustRightInd w:val="0"/>
      <w:spacing w:line="312" w:lineRule="atLeast"/>
      <w:ind w:left="100" w:leftChars="400" w:hanging="200" w:hangingChars="200"/>
      <w:textAlignment w:val="baseline"/>
    </w:pPr>
    <w:rPr>
      <w:kern w:val="0"/>
      <w:szCs w:val="21"/>
    </w:rPr>
  </w:style>
  <w:style w:type="paragraph" w:styleId="12">
    <w:name w:val="annotation subject"/>
    <w:basedOn w:val="13"/>
    <w:next w:val="13"/>
    <w:link w:val="138"/>
    <w:qFormat/>
    <w:uiPriority w:val="99"/>
    <w:rPr>
      <w:b/>
      <w:bCs/>
    </w:rPr>
  </w:style>
  <w:style w:type="paragraph" w:styleId="13">
    <w:name w:val="annotation text"/>
    <w:basedOn w:val="1"/>
    <w:link w:val="106"/>
    <w:uiPriority w:val="99"/>
    <w:pPr>
      <w:jc w:val="left"/>
    </w:pPr>
  </w:style>
  <w:style w:type="paragraph" w:styleId="14">
    <w:name w:val="toc 7"/>
    <w:basedOn w:val="1"/>
    <w:next w:val="1"/>
    <w:uiPriority w:val="39"/>
    <w:pPr>
      <w:adjustRightInd w:val="0"/>
      <w:spacing w:line="312" w:lineRule="atLeast"/>
      <w:ind w:left="2520" w:leftChars="1200"/>
      <w:textAlignment w:val="baseline"/>
    </w:pPr>
    <w:rPr>
      <w:kern w:val="0"/>
      <w:szCs w:val="21"/>
    </w:rPr>
  </w:style>
  <w:style w:type="paragraph" w:styleId="15">
    <w:name w:val="Body Text First Indent"/>
    <w:basedOn w:val="16"/>
    <w:link w:val="133"/>
    <w:qFormat/>
    <w:uiPriority w:val="99"/>
    <w:pPr>
      <w:adjustRightInd w:val="0"/>
      <w:spacing w:after="120" w:line="312" w:lineRule="atLeast"/>
      <w:ind w:firstLine="420" w:firstLineChars="100"/>
      <w:jc w:val="both"/>
      <w:textAlignment w:val="baseline"/>
    </w:pPr>
    <w:rPr>
      <w:rFonts w:ascii="宋体"/>
      <w:color w:val="0000FF"/>
      <w:sz w:val="24"/>
      <w:szCs w:val="24"/>
    </w:rPr>
  </w:style>
  <w:style w:type="paragraph" w:styleId="16">
    <w:name w:val="Body Text"/>
    <w:basedOn w:val="1"/>
    <w:link w:val="114"/>
    <w:qFormat/>
    <w:uiPriority w:val="0"/>
    <w:pPr>
      <w:spacing w:line="300" w:lineRule="auto"/>
      <w:jc w:val="center"/>
    </w:pPr>
    <w:rPr>
      <w:rFonts w:eastAsia="方正小标宋简体"/>
      <w:b/>
      <w:bCs/>
      <w:sz w:val="44"/>
      <w:szCs w:val="20"/>
    </w:rPr>
  </w:style>
  <w:style w:type="paragraph" w:styleId="17">
    <w:name w:val="Normal Indent"/>
    <w:basedOn w:val="1"/>
    <w:link w:val="103"/>
    <w:qFormat/>
    <w:uiPriority w:val="99"/>
    <w:pPr>
      <w:adjustRightInd w:val="0"/>
      <w:spacing w:line="312" w:lineRule="atLeast"/>
      <w:ind w:firstLine="420" w:firstLineChars="200"/>
      <w:textAlignment w:val="baseline"/>
    </w:pPr>
    <w:rPr>
      <w:kern w:val="0"/>
      <w:szCs w:val="21"/>
    </w:rPr>
  </w:style>
  <w:style w:type="paragraph" w:styleId="18">
    <w:name w:val="caption"/>
    <w:basedOn w:val="1"/>
    <w:next w:val="1"/>
    <w:qFormat/>
    <w:uiPriority w:val="99"/>
    <w:pPr>
      <w:adjustRightInd w:val="0"/>
      <w:spacing w:line="312" w:lineRule="atLeast"/>
      <w:textAlignment w:val="baseline"/>
    </w:pPr>
    <w:rPr>
      <w:rFonts w:ascii="Arial" w:hAnsi="Arial" w:eastAsia="黑体" w:cs="Arial"/>
      <w:kern w:val="0"/>
      <w:sz w:val="20"/>
      <w:szCs w:val="20"/>
    </w:rPr>
  </w:style>
  <w:style w:type="paragraph" w:styleId="19">
    <w:name w:val="Document Map"/>
    <w:basedOn w:val="1"/>
    <w:link w:val="141"/>
    <w:uiPriority w:val="99"/>
    <w:pPr>
      <w:shd w:val="clear" w:color="auto" w:fill="000080"/>
    </w:pPr>
  </w:style>
  <w:style w:type="paragraph" w:styleId="20">
    <w:name w:val="Body Text Indent"/>
    <w:basedOn w:val="1"/>
    <w:link w:val="97"/>
    <w:qFormat/>
    <w:uiPriority w:val="99"/>
    <w:pPr>
      <w:adjustRightInd w:val="0"/>
      <w:spacing w:after="120" w:line="312" w:lineRule="atLeast"/>
      <w:ind w:left="420" w:leftChars="200"/>
      <w:textAlignment w:val="baseline"/>
    </w:pPr>
    <w:rPr>
      <w:kern w:val="0"/>
      <w:szCs w:val="21"/>
    </w:rPr>
  </w:style>
  <w:style w:type="paragraph" w:styleId="21">
    <w:name w:val="List 2"/>
    <w:basedOn w:val="1"/>
    <w:uiPriority w:val="99"/>
    <w:pPr>
      <w:adjustRightInd w:val="0"/>
      <w:spacing w:line="312" w:lineRule="atLeast"/>
      <w:ind w:left="100" w:leftChars="200" w:hanging="200" w:hangingChars="200"/>
      <w:textAlignment w:val="baseline"/>
    </w:pPr>
    <w:rPr>
      <w:kern w:val="0"/>
      <w:szCs w:val="21"/>
    </w:rPr>
  </w:style>
  <w:style w:type="paragraph" w:styleId="22">
    <w:name w:val="List Continue"/>
    <w:basedOn w:val="1"/>
    <w:qFormat/>
    <w:uiPriority w:val="99"/>
    <w:pPr>
      <w:adjustRightInd w:val="0"/>
      <w:spacing w:after="120" w:line="312" w:lineRule="atLeast"/>
      <w:ind w:left="420" w:leftChars="200"/>
      <w:textAlignment w:val="baseline"/>
    </w:pPr>
    <w:rPr>
      <w:kern w:val="0"/>
      <w:szCs w:val="21"/>
    </w:rPr>
  </w:style>
  <w:style w:type="paragraph" w:styleId="23">
    <w:name w:val="toc 5"/>
    <w:basedOn w:val="1"/>
    <w:next w:val="1"/>
    <w:qFormat/>
    <w:uiPriority w:val="39"/>
    <w:pPr>
      <w:adjustRightInd w:val="0"/>
      <w:spacing w:line="312" w:lineRule="atLeast"/>
      <w:ind w:left="1680" w:leftChars="800"/>
      <w:textAlignment w:val="baseline"/>
    </w:pPr>
    <w:rPr>
      <w:kern w:val="0"/>
      <w:szCs w:val="21"/>
    </w:rPr>
  </w:style>
  <w:style w:type="paragraph" w:styleId="24">
    <w:name w:val="toc 3"/>
    <w:basedOn w:val="1"/>
    <w:next w:val="1"/>
    <w:qFormat/>
    <w:uiPriority w:val="39"/>
    <w:pPr>
      <w:ind w:left="840" w:leftChars="400"/>
    </w:pPr>
    <w:rPr>
      <w:rFonts w:ascii="Calibri" w:hAnsi="Calibri" w:cs="Calibri"/>
      <w:szCs w:val="21"/>
    </w:rPr>
  </w:style>
  <w:style w:type="paragraph" w:styleId="25">
    <w:name w:val="Plain Text"/>
    <w:basedOn w:val="1"/>
    <w:link w:val="130"/>
    <w:uiPriority w:val="99"/>
    <w:rPr>
      <w:rFonts w:ascii="宋体" w:hAnsi="Courier New"/>
      <w:kern w:val="0"/>
      <w:szCs w:val="21"/>
    </w:rPr>
  </w:style>
  <w:style w:type="paragraph" w:styleId="26">
    <w:name w:val="toc 8"/>
    <w:basedOn w:val="1"/>
    <w:next w:val="1"/>
    <w:qFormat/>
    <w:uiPriority w:val="39"/>
    <w:pPr>
      <w:adjustRightInd w:val="0"/>
      <w:spacing w:line="312" w:lineRule="atLeast"/>
      <w:ind w:left="2940" w:leftChars="1400"/>
      <w:textAlignment w:val="baseline"/>
    </w:pPr>
    <w:rPr>
      <w:kern w:val="0"/>
      <w:szCs w:val="21"/>
    </w:rPr>
  </w:style>
  <w:style w:type="paragraph" w:styleId="27">
    <w:name w:val="Date"/>
    <w:basedOn w:val="1"/>
    <w:next w:val="1"/>
    <w:link w:val="132"/>
    <w:qFormat/>
    <w:uiPriority w:val="99"/>
    <w:pPr>
      <w:ind w:left="100" w:leftChars="2500"/>
    </w:pPr>
  </w:style>
  <w:style w:type="paragraph" w:styleId="28">
    <w:name w:val="Body Text Indent 2"/>
    <w:basedOn w:val="1"/>
    <w:link w:val="128"/>
    <w:uiPriority w:val="99"/>
    <w:pPr>
      <w:autoSpaceDE w:val="0"/>
      <w:autoSpaceDN w:val="0"/>
      <w:adjustRightInd w:val="0"/>
      <w:spacing w:line="312" w:lineRule="atLeast"/>
      <w:ind w:right="65" w:firstLine="420"/>
      <w:textAlignment w:val="bottom"/>
    </w:pPr>
    <w:rPr>
      <w:rFonts w:ascii="宋体"/>
      <w:kern w:val="0"/>
      <w:sz w:val="24"/>
    </w:rPr>
  </w:style>
  <w:style w:type="paragraph" w:styleId="29">
    <w:name w:val="Balloon Text"/>
    <w:basedOn w:val="1"/>
    <w:link w:val="96"/>
    <w:qFormat/>
    <w:uiPriority w:val="99"/>
    <w:rPr>
      <w:sz w:val="18"/>
      <w:szCs w:val="18"/>
    </w:rPr>
  </w:style>
  <w:style w:type="paragraph" w:styleId="30">
    <w:name w:val="footer"/>
    <w:basedOn w:val="1"/>
    <w:link w:val="107"/>
    <w:qFormat/>
    <w:uiPriority w:val="99"/>
    <w:pPr>
      <w:tabs>
        <w:tab w:val="center" w:pos="4153"/>
        <w:tab w:val="right" w:pos="8306"/>
      </w:tabs>
      <w:snapToGrid w:val="0"/>
      <w:jc w:val="left"/>
    </w:pPr>
    <w:rPr>
      <w:sz w:val="18"/>
      <w:szCs w:val="18"/>
    </w:rPr>
  </w:style>
  <w:style w:type="paragraph" w:styleId="31">
    <w:name w:val="Body Text First Indent 2"/>
    <w:basedOn w:val="20"/>
    <w:link w:val="131"/>
    <w:uiPriority w:val="99"/>
    <w:pPr>
      <w:ind w:firstLine="420" w:firstLineChars="200"/>
    </w:pPr>
  </w:style>
  <w:style w:type="paragraph" w:styleId="32">
    <w:name w:val="header"/>
    <w:basedOn w:val="1"/>
    <w:link w:val="137"/>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uiPriority w:val="39"/>
  </w:style>
  <w:style w:type="paragraph" w:styleId="34">
    <w:name w:val="toc 4"/>
    <w:basedOn w:val="1"/>
    <w:next w:val="1"/>
    <w:qFormat/>
    <w:uiPriority w:val="39"/>
    <w:pPr>
      <w:adjustRightInd w:val="0"/>
      <w:spacing w:line="312" w:lineRule="atLeast"/>
      <w:ind w:left="1260" w:leftChars="600"/>
      <w:textAlignment w:val="baseline"/>
    </w:pPr>
    <w:rPr>
      <w:kern w:val="0"/>
      <w:szCs w:val="21"/>
    </w:rPr>
  </w:style>
  <w:style w:type="paragraph" w:styleId="35">
    <w:name w:val="List"/>
    <w:basedOn w:val="1"/>
    <w:uiPriority w:val="99"/>
    <w:pPr>
      <w:ind w:left="200" w:hanging="200" w:hangingChars="200"/>
    </w:pPr>
    <w:rPr>
      <w:szCs w:val="21"/>
    </w:rPr>
  </w:style>
  <w:style w:type="paragraph" w:styleId="36">
    <w:name w:val="footnote text"/>
    <w:basedOn w:val="1"/>
    <w:link w:val="101"/>
    <w:uiPriority w:val="99"/>
    <w:pPr>
      <w:snapToGrid w:val="0"/>
      <w:jc w:val="left"/>
    </w:pPr>
    <w:rPr>
      <w:rFonts w:ascii="Calibri" w:hAnsi="Calibri"/>
      <w:sz w:val="18"/>
      <w:szCs w:val="18"/>
    </w:rPr>
  </w:style>
  <w:style w:type="paragraph" w:styleId="37">
    <w:name w:val="toc 6"/>
    <w:basedOn w:val="1"/>
    <w:next w:val="1"/>
    <w:qFormat/>
    <w:uiPriority w:val="39"/>
    <w:pPr>
      <w:adjustRightInd w:val="0"/>
      <w:spacing w:line="312" w:lineRule="atLeast"/>
      <w:ind w:left="2100" w:leftChars="1000"/>
      <w:textAlignment w:val="baseline"/>
    </w:pPr>
    <w:rPr>
      <w:kern w:val="0"/>
      <w:szCs w:val="21"/>
    </w:rPr>
  </w:style>
  <w:style w:type="paragraph" w:styleId="38">
    <w:name w:val="List 5"/>
    <w:basedOn w:val="1"/>
    <w:qFormat/>
    <w:uiPriority w:val="99"/>
    <w:pPr>
      <w:adjustRightInd w:val="0"/>
      <w:spacing w:line="312" w:lineRule="atLeast"/>
      <w:ind w:left="100" w:leftChars="800" w:hanging="200" w:hangingChars="200"/>
      <w:textAlignment w:val="baseline"/>
    </w:pPr>
    <w:rPr>
      <w:kern w:val="0"/>
      <w:szCs w:val="21"/>
    </w:rPr>
  </w:style>
  <w:style w:type="paragraph" w:styleId="39">
    <w:name w:val="Body Text Indent 3"/>
    <w:basedOn w:val="1"/>
    <w:link w:val="116"/>
    <w:qFormat/>
    <w:uiPriority w:val="99"/>
    <w:pPr>
      <w:spacing w:line="400" w:lineRule="exact"/>
      <w:ind w:firstLine="630" w:firstLineChars="300"/>
    </w:pPr>
    <w:rPr>
      <w:rFonts w:ascii="宋体"/>
      <w:szCs w:val="21"/>
    </w:rPr>
  </w:style>
  <w:style w:type="paragraph" w:styleId="40">
    <w:name w:val="toc 2"/>
    <w:basedOn w:val="1"/>
    <w:next w:val="1"/>
    <w:qFormat/>
    <w:uiPriority w:val="39"/>
    <w:pPr>
      <w:ind w:left="420" w:leftChars="200"/>
    </w:pPr>
  </w:style>
  <w:style w:type="paragraph" w:styleId="41">
    <w:name w:val="toc 9"/>
    <w:basedOn w:val="1"/>
    <w:next w:val="1"/>
    <w:uiPriority w:val="39"/>
    <w:pPr>
      <w:adjustRightInd w:val="0"/>
      <w:spacing w:line="312" w:lineRule="atLeast"/>
      <w:ind w:left="3360" w:leftChars="1600"/>
      <w:textAlignment w:val="baseline"/>
    </w:pPr>
    <w:rPr>
      <w:kern w:val="0"/>
      <w:szCs w:val="21"/>
    </w:rPr>
  </w:style>
  <w:style w:type="paragraph" w:styleId="42">
    <w:name w:val="Body Text 2"/>
    <w:basedOn w:val="1"/>
    <w:link w:val="104"/>
    <w:uiPriority w:val="99"/>
    <w:pPr>
      <w:adjustRightInd w:val="0"/>
      <w:spacing w:after="120" w:line="480" w:lineRule="auto"/>
      <w:textAlignment w:val="baseline"/>
    </w:pPr>
    <w:rPr>
      <w:kern w:val="0"/>
      <w:szCs w:val="21"/>
    </w:rPr>
  </w:style>
  <w:style w:type="paragraph" w:styleId="43">
    <w:name w:val="List 4"/>
    <w:basedOn w:val="1"/>
    <w:qFormat/>
    <w:uiPriority w:val="99"/>
    <w:pPr>
      <w:adjustRightInd w:val="0"/>
      <w:spacing w:line="312" w:lineRule="atLeast"/>
      <w:ind w:left="100" w:leftChars="600" w:hanging="200" w:hangingChars="200"/>
      <w:textAlignment w:val="baseline"/>
    </w:pPr>
    <w:rPr>
      <w:kern w:val="0"/>
      <w:szCs w:val="21"/>
    </w:rPr>
  </w:style>
  <w:style w:type="paragraph" w:styleId="44">
    <w:name w:val="List Continue 2"/>
    <w:basedOn w:val="1"/>
    <w:qFormat/>
    <w:uiPriority w:val="99"/>
    <w:pPr>
      <w:adjustRightInd w:val="0"/>
      <w:spacing w:after="120" w:line="312" w:lineRule="atLeast"/>
      <w:ind w:left="840" w:leftChars="400"/>
      <w:textAlignment w:val="baseline"/>
    </w:pPr>
    <w:rPr>
      <w:kern w:val="0"/>
      <w:szCs w:val="21"/>
    </w:rPr>
  </w:style>
  <w:style w:type="paragraph" w:styleId="45">
    <w:name w:val="HTML Preformatted"/>
    <w:basedOn w:val="1"/>
    <w:link w:val="126"/>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46">
    <w:name w:val="Normal (Web)"/>
    <w:basedOn w:val="1"/>
    <w:qFormat/>
    <w:uiPriority w:val="99"/>
    <w:pPr>
      <w:widowControl/>
      <w:spacing w:before="100" w:beforeAutospacing="1" w:after="100" w:afterAutospacing="1" w:line="330" w:lineRule="atLeast"/>
      <w:jc w:val="left"/>
    </w:pPr>
    <w:rPr>
      <w:rFonts w:ascii="宋体" w:hAnsi="宋体" w:cs="宋体"/>
      <w:kern w:val="0"/>
      <w:sz w:val="22"/>
      <w:szCs w:val="22"/>
    </w:rPr>
  </w:style>
  <w:style w:type="paragraph" w:styleId="47">
    <w:name w:val="List Continue 3"/>
    <w:basedOn w:val="1"/>
    <w:qFormat/>
    <w:uiPriority w:val="99"/>
    <w:pPr>
      <w:adjustRightInd w:val="0"/>
      <w:spacing w:after="120" w:line="312" w:lineRule="atLeast"/>
      <w:ind w:left="1260" w:leftChars="600"/>
      <w:textAlignment w:val="baseline"/>
    </w:pPr>
    <w:rPr>
      <w:kern w:val="0"/>
      <w:szCs w:val="21"/>
    </w:rPr>
  </w:style>
  <w:style w:type="paragraph" w:styleId="48">
    <w:name w:val="Title"/>
    <w:basedOn w:val="1"/>
    <w:next w:val="1"/>
    <w:link w:val="127"/>
    <w:qFormat/>
    <w:uiPriority w:val="99"/>
    <w:pPr>
      <w:adjustRightInd w:val="0"/>
      <w:spacing w:before="240" w:after="60" w:line="312" w:lineRule="atLeast"/>
      <w:jc w:val="center"/>
      <w:textAlignment w:val="baseline"/>
      <w:outlineLvl w:val="0"/>
    </w:pPr>
    <w:rPr>
      <w:rFonts w:ascii="Cambria" w:hAnsi="Cambria"/>
      <w:b/>
      <w:bCs/>
      <w:kern w:val="0"/>
      <w:sz w:val="32"/>
      <w:szCs w:val="32"/>
    </w:rPr>
  </w:style>
  <w:style w:type="character" w:styleId="50">
    <w:name w:val="page number"/>
    <w:basedOn w:val="49"/>
    <w:qFormat/>
    <w:uiPriority w:val="99"/>
    <w:rPr/>
  </w:style>
  <w:style w:type="character" w:styleId="51">
    <w:name w:val="Emphasis"/>
    <w:qFormat/>
    <w:uiPriority w:val="99"/>
    <w:rPr>
      <w:i/>
    </w:rPr>
  </w:style>
  <w:style w:type="character" w:styleId="52">
    <w:name w:val="Hyperlink"/>
    <w:qFormat/>
    <w:uiPriority w:val="99"/>
    <w:rPr>
      <w:color w:val="0000FF"/>
      <w:u w:val="single"/>
    </w:rPr>
  </w:style>
  <w:style w:type="character" w:styleId="53">
    <w:name w:val="annotation reference"/>
    <w:qFormat/>
    <w:uiPriority w:val="99"/>
    <w:rPr>
      <w:sz w:val="21"/>
      <w:szCs w:val="21"/>
    </w:rPr>
  </w:style>
  <w:style w:type="character" w:styleId="54">
    <w:name w:val="footnote reference"/>
    <w:qFormat/>
    <w:uiPriority w:val="99"/>
    <w:rPr>
      <w:vertAlign w:val="superscript"/>
    </w:rPr>
  </w:style>
  <w:style w:type="table" w:styleId="56">
    <w:name w:val="Table Grid"/>
    <w:basedOn w:val="55"/>
    <w:qFormat/>
    <w:uiPriority w:val="59"/>
    <w:p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57">
    <w:name w:val="段"/>
    <w:link w:val="99"/>
    <w:qFormat/>
    <w:uiPriority w:val="99"/>
    <w:pPr>
      <w:autoSpaceDE w:val="0"/>
      <w:autoSpaceDN w:val="0"/>
      <w:jc w:val="both"/>
    </w:pPr>
    <w:rPr>
      <w:rFonts w:ascii="宋体" w:hAnsi="Times New Roman" w:eastAsia="宋体" w:cs="Times New Roman"/>
      <w:sz w:val="21"/>
      <w:lang w:val="en-US" w:eastAsia="zh-CN" w:bidi="ar-SA"/>
    </w:rPr>
  </w:style>
  <w:style w:type="paragraph" w:customStyle="1" w:styleId="58">
    <w:name w:val="表头"/>
    <w:basedOn w:val="1"/>
    <w:link w:val="109"/>
    <w:qFormat/>
    <w:uiPriority w:val="99"/>
    <w:pPr>
      <w:spacing w:beforeLines="50" w:afterLines="50" w:line="300" w:lineRule="auto"/>
      <w:jc w:val="center"/>
    </w:pPr>
    <w:rPr>
      <w:b/>
      <w:bCs/>
      <w:szCs w:val="21"/>
    </w:rPr>
  </w:style>
  <w:style w:type="paragraph" w:customStyle="1" w:styleId="59">
    <w:name w:val="条文"/>
    <w:basedOn w:val="1"/>
    <w:link w:val="117"/>
    <w:qFormat/>
    <w:uiPriority w:val="0"/>
    <w:pPr>
      <w:adjustRightInd w:val="0"/>
      <w:spacing w:line="300" w:lineRule="auto"/>
      <w:ind w:firstLine="200" w:firstLineChars="200"/>
      <w:outlineLvl w:val="2"/>
    </w:pPr>
    <w:rPr>
      <w:sz w:val="24"/>
    </w:rPr>
  </w:style>
  <w:style w:type="paragraph" w:customStyle="1" w:styleId="60">
    <w:name w:val="章"/>
    <w:basedOn w:val="1"/>
    <w:link w:val="122"/>
    <w:qFormat/>
    <w:uiPriority w:val="99"/>
    <w:pPr>
      <w:spacing w:beforeLines="100" w:afterLines="100" w:line="300" w:lineRule="auto"/>
      <w:jc w:val="center"/>
      <w:outlineLvl w:val="0"/>
    </w:pPr>
    <w:rPr>
      <w:b/>
      <w:bCs/>
      <w:sz w:val="28"/>
      <w:szCs w:val="28"/>
    </w:rPr>
  </w:style>
  <w:style w:type="paragraph" w:customStyle="1" w:styleId="61">
    <w:name w:val="分条"/>
    <w:basedOn w:val="1"/>
    <w:link w:val="123"/>
    <w:qFormat/>
    <w:uiPriority w:val="99"/>
    <w:pPr>
      <w:spacing w:line="360" w:lineRule="auto"/>
      <w:ind w:firstLine="200" w:firstLineChars="200"/>
    </w:pPr>
    <w:rPr>
      <w:sz w:val="24"/>
    </w:rPr>
  </w:style>
  <w:style w:type="paragraph" w:customStyle="1" w:styleId="62">
    <w:name w:val="节"/>
    <w:basedOn w:val="1"/>
    <w:qFormat/>
    <w:uiPriority w:val="99"/>
    <w:pPr>
      <w:adjustRightInd w:val="0"/>
      <w:spacing w:beforeLines="100" w:line="300" w:lineRule="auto"/>
      <w:ind w:firstLine="200" w:firstLineChars="200"/>
      <w:jc w:val="center"/>
      <w:outlineLvl w:val="1"/>
    </w:pPr>
    <w:rPr>
      <w:b/>
      <w:bCs/>
      <w:sz w:val="24"/>
    </w:rPr>
  </w:style>
  <w:style w:type="paragraph" w:customStyle="1" w:styleId="63">
    <w:name w:val="Char Char Char Char"/>
    <w:basedOn w:val="1"/>
    <w:qFormat/>
    <w:uiPriority w:val="99"/>
    <w:pPr>
      <w:widowControl/>
      <w:spacing w:after="160" w:line="240" w:lineRule="exact"/>
      <w:jc w:val="left"/>
    </w:pPr>
    <w:rPr>
      <w:rFonts w:ascii="Verdana" w:hAnsi="Verdana" w:eastAsia="仿宋_GB2312" w:cs="Verdana"/>
      <w:kern w:val="0"/>
      <w:sz w:val="24"/>
      <w:lang w:eastAsia="en-US"/>
    </w:rPr>
  </w:style>
  <w:style w:type="paragraph" w:customStyle="1" w:styleId="64">
    <w:name w:val="Char Char"/>
    <w:basedOn w:val="1"/>
    <w:qFormat/>
    <w:uiPriority w:val="99"/>
    <w:pPr>
      <w:widowControl/>
      <w:spacing w:after="160" w:line="240" w:lineRule="exact"/>
      <w:jc w:val="left"/>
    </w:pPr>
    <w:rPr>
      <w:rFonts w:ascii="Arial" w:hAnsi="Arial" w:cs="Arial"/>
      <w:b/>
      <w:bCs/>
      <w:kern w:val="0"/>
      <w:sz w:val="24"/>
      <w:lang w:eastAsia="en-US"/>
    </w:rPr>
  </w:style>
  <w:style w:type="paragraph" w:customStyle="1" w:styleId="65">
    <w:name w:val="默认段落字体 Para Char Char Char Char"/>
    <w:basedOn w:val="1"/>
    <w:qFormat/>
    <w:uiPriority w:val="99"/>
    <w:rPr>
      <w:szCs w:val="21"/>
    </w:rPr>
  </w:style>
  <w:style w:type="paragraph" w:customStyle="1" w:styleId="6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
    <w:name w:val="g_revise_cp"/>
    <w:basedOn w:val="1"/>
    <w:qFormat/>
    <w:uiPriority w:val="99"/>
    <w:pPr>
      <w:widowControl/>
      <w:spacing w:before="100" w:beforeAutospacing="1" w:line="480" w:lineRule="auto"/>
      <w:jc w:val="left"/>
    </w:pPr>
    <w:rPr>
      <w:rFonts w:ascii="?_GB2312" w:hAnsi="?_GB2312" w:cs="?_GB2312"/>
      <w:b/>
      <w:bCs/>
      <w:spacing w:val="20"/>
      <w:kern w:val="0"/>
      <w:sz w:val="20"/>
      <w:szCs w:val="20"/>
    </w:rPr>
  </w:style>
  <w:style w:type="paragraph" w:customStyle="1" w:styleId="68">
    <w:name w:val="样式"/>
    <w:qFormat/>
    <w:uiPriority w:val="0"/>
    <w:rPr>
      <w:rFonts w:ascii="Times New Roman" w:hAnsi="Times New Roman" w:eastAsia="宋体" w:cs="Times New Roman"/>
      <w:lang w:val="en-US" w:eastAsia="zh-CN" w:bidi="ar-SA"/>
    </w:rPr>
  </w:style>
  <w:style w:type="paragraph" w:customStyle="1" w:styleId="69">
    <w:name w:val="TOC 标题1"/>
    <w:basedOn w:val="2"/>
    <w:next w:val="1"/>
    <w:qFormat/>
    <w:uiPriority w:val="0"/>
    <w:pPr>
      <w:keepLines/>
      <w:widowControl/>
      <w:adjustRightInd/>
      <w:spacing w:before="480" w:line="276" w:lineRule="auto"/>
      <w:jc w:val="left"/>
      <w:textAlignment w:val="auto"/>
      <w:outlineLvl w:val="9"/>
    </w:pPr>
    <w:rPr>
      <w:rFonts w:ascii="Cambria" w:hAnsi="Cambria" w:eastAsia="宋体" w:cs="Cambria"/>
      <w:b/>
      <w:bCs/>
      <w:color w:val="365F91"/>
    </w:rPr>
  </w:style>
  <w:style w:type="paragraph" w:customStyle="1" w:styleId="70">
    <w:name w:val="Char Char Char Char Char Char Char"/>
    <w:basedOn w:val="1"/>
    <w:qFormat/>
    <w:uiPriority w:val="99"/>
    <w:pPr>
      <w:widowControl/>
      <w:spacing w:after="160" w:line="240" w:lineRule="exact"/>
      <w:jc w:val="left"/>
    </w:pPr>
    <w:rPr>
      <w:rFonts w:ascii="Arial" w:hAnsi="Arial" w:cs="Arial"/>
      <w:b/>
      <w:bCs/>
      <w:kern w:val="0"/>
      <w:sz w:val="24"/>
      <w:lang w:eastAsia="en-US"/>
    </w:rPr>
  </w:style>
  <w:style w:type="paragraph" w:customStyle="1" w:styleId="71">
    <w:name w:val="List Paragraph"/>
    <w:basedOn w:val="1"/>
    <w:qFormat/>
    <w:uiPriority w:val="99"/>
    <w:pPr>
      <w:ind w:firstLine="420" w:firstLineChars="200"/>
    </w:pPr>
    <w:rPr>
      <w:szCs w:val="21"/>
    </w:rPr>
  </w:style>
  <w:style w:type="paragraph" w:customStyle="1" w:styleId="72">
    <w:name w:val="Char"/>
    <w:basedOn w:val="19"/>
    <w:qFormat/>
    <w:uiPriority w:val="99"/>
    <w:rPr>
      <w:rFonts w:ascii="Tahoma" w:hAnsi="Tahoma" w:cs="Tahoma"/>
      <w:sz w:val="24"/>
    </w:rPr>
  </w:style>
  <w:style w:type="paragraph" w:customStyle="1" w:styleId="73">
    <w:name w:val="p0"/>
    <w:basedOn w:val="1"/>
    <w:qFormat/>
    <w:uiPriority w:val="0"/>
    <w:pPr>
      <w:widowControl/>
    </w:pPr>
    <w:rPr>
      <w:rFonts w:ascii="宋体" w:hAnsi="宋体" w:cs="宋体"/>
      <w:kern w:val="0"/>
      <w:szCs w:val="21"/>
    </w:rPr>
  </w:style>
  <w:style w:type="paragraph" w:customStyle="1" w:styleId="74">
    <w:name w:val="样式1"/>
    <w:basedOn w:val="2"/>
    <w:qFormat/>
    <w:uiPriority w:val="99"/>
    <w:pPr>
      <w:keepLines/>
      <w:adjustRightInd/>
      <w:spacing w:after="240" w:line="360" w:lineRule="auto"/>
      <w:jc w:val="both"/>
      <w:textAlignment w:val="auto"/>
    </w:pPr>
    <w:rPr>
      <w:b/>
      <w:bCs/>
      <w:kern w:val="44"/>
      <w:sz w:val="30"/>
      <w:szCs w:val="30"/>
    </w:rPr>
  </w:style>
  <w:style w:type="paragraph" w:customStyle="1" w:styleId="75">
    <w:name w:val="g_zw_note"/>
    <w:basedOn w:val="1"/>
    <w:qFormat/>
    <w:uiPriority w:val="99"/>
    <w:pPr>
      <w:widowControl/>
      <w:spacing w:before="100" w:beforeAutospacing="1" w:line="360" w:lineRule="auto"/>
      <w:jc w:val="left"/>
    </w:pPr>
    <w:rPr>
      <w:rFonts w:ascii="??" w:hAnsi="??" w:cs="??"/>
      <w:kern w:val="0"/>
      <w:sz w:val="18"/>
      <w:szCs w:val="18"/>
    </w:rPr>
  </w:style>
  <w:style w:type="paragraph" w:customStyle="1" w:styleId="76">
    <w:name w:val="g_cp2"/>
    <w:basedOn w:val="1"/>
    <w:qFormat/>
    <w:uiPriority w:val="99"/>
    <w:pPr>
      <w:widowControl/>
      <w:spacing w:before="150" w:after="100" w:afterAutospacing="1" w:line="360" w:lineRule="auto"/>
      <w:jc w:val="left"/>
    </w:pPr>
    <w:rPr>
      <w:rFonts w:ascii="宋体" w:hAnsi="宋体" w:cs="宋体"/>
      <w:b/>
      <w:bCs/>
      <w:spacing w:val="20"/>
      <w:kern w:val="0"/>
      <w:sz w:val="24"/>
    </w:rPr>
  </w:style>
  <w:style w:type="paragraph" w:customStyle="1" w:styleId="77">
    <w:name w:val="g_zw"/>
    <w:basedOn w:val="1"/>
    <w:qFormat/>
    <w:uiPriority w:val="99"/>
    <w:pPr>
      <w:widowControl/>
      <w:spacing w:before="100" w:beforeAutospacing="1" w:line="360" w:lineRule="auto"/>
      <w:jc w:val="left"/>
    </w:pPr>
    <w:rPr>
      <w:rFonts w:ascii="??" w:hAnsi="??" w:cs="??"/>
      <w:kern w:val="0"/>
      <w:sz w:val="22"/>
      <w:szCs w:val="22"/>
    </w:rPr>
  </w:style>
  <w:style w:type="paragraph" w:customStyle="1" w:styleId="78">
    <w:name w:val="样式 (西文) 宋体  左侧:  0.85 厘米"/>
    <w:basedOn w:val="1"/>
    <w:qFormat/>
    <w:uiPriority w:val="99"/>
    <w:pPr>
      <w:ind w:left="480"/>
      <w:jc w:val="center"/>
    </w:pPr>
    <w:rPr>
      <w:rFonts w:ascii="宋体" w:hAnsi="宋体" w:cs="宋体"/>
      <w:sz w:val="24"/>
    </w:rPr>
  </w:style>
  <w:style w:type="paragraph" w:customStyle="1" w:styleId="79">
    <w:name w:val="样式2"/>
    <w:basedOn w:val="1"/>
    <w:qFormat/>
    <w:uiPriority w:val="0"/>
    <w:pPr>
      <w:spacing w:before="156" w:after="156" w:line="400" w:lineRule="atLeast"/>
    </w:pPr>
    <w:rPr>
      <w:rFonts w:ascii="楷体_GB2312" w:eastAsia="楷体_GB2312" w:cs="宋体"/>
      <w:sz w:val="24"/>
      <w:szCs w:val="20"/>
    </w:rPr>
  </w:style>
  <w:style w:type="paragraph" w:customStyle="1" w:styleId="80">
    <w:name w:val="列出段落1"/>
    <w:basedOn w:val="1"/>
    <w:qFormat/>
    <w:uiPriority w:val="99"/>
    <w:pPr>
      <w:ind w:firstLine="420" w:firstLineChars="200"/>
    </w:pPr>
    <w:rPr>
      <w:szCs w:val="21"/>
    </w:rPr>
  </w:style>
  <w:style w:type="paragraph" w:customStyle="1" w:styleId="81">
    <w:name w:val="TOC 标题2"/>
    <w:basedOn w:val="2"/>
    <w:next w:val="1"/>
    <w:qFormat/>
    <w:uiPriority w:val="99"/>
    <w:pPr>
      <w:keepLines/>
      <w:widowControl/>
      <w:adjustRightInd/>
      <w:spacing w:before="480" w:line="276" w:lineRule="auto"/>
      <w:jc w:val="left"/>
      <w:textAlignment w:val="auto"/>
      <w:outlineLvl w:val="9"/>
    </w:pPr>
    <w:rPr>
      <w:rFonts w:ascii="Cambria" w:hAnsi="Cambria" w:eastAsia="宋体" w:cs="Cambria"/>
      <w:b/>
      <w:bCs/>
      <w:color w:val="365F91"/>
    </w:rPr>
  </w:style>
  <w:style w:type="paragraph" w:customStyle="1" w:styleId="82">
    <w:name w:val="Char Char Char Char Char Char Char1"/>
    <w:basedOn w:val="1"/>
    <w:qFormat/>
    <w:uiPriority w:val="99"/>
    <w:pPr>
      <w:widowControl/>
      <w:topLinePunct w:val="1"/>
      <w:adjustRightInd w:val="0"/>
      <w:spacing w:after="160" w:line="240" w:lineRule="exact"/>
      <w:jc w:val="left"/>
    </w:pPr>
    <w:rPr>
      <w:rFonts w:ascii="Arial" w:hAnsi="Arial" w:cs="Arial"/>
      <w:b/>
      <w:bCs/>
      <w:kern w:val="0"/>
      <w:sz w:val="24"/>
      <w:lang w:eastAsia="en-US"/>
    </w:rPr>
  </w:style>
  <w:style w:type="paragraph" w:customStyle="1" w:styleId="83">
    <w:name w:val="图"/>
    <w:basedOn w:val="1"/>
    <w:qFormat/>
    <w:uiPriority w:val="99"/>
    <w:pPr>
      <w:adjustRightInd w:val="0"/>
      <w:jc w:val="center"/>
    </w:pPr>
    <w:rPr>
      <w:rFonts w:ascii="黑体" w:eastAsia="黑体" w:cs="黑体"/>
      <w:sz w:val="18"/>
      <w:szCs w:val="18"/>
    </w:rPr>
  </w:style>
  <w:style w:type="paragraph" w:customStyle="1" w:styleId="84">
    <w:name w:val="表"/>
    <w:basedOn w:val="1"/>
    <w:qFormat/>
    <w:uiPriority w:val="99"/>
    <w:pPr>
      <w:spacing w:line="300" w:lineRule="auto"/>
      <w:jc w:val="center"/>
    </w:pPr>
    <w:rPr>
      <w:szCs w:val="21"/>
    </w:rPr>
  </w:style>
  <w:style w:type="paragraph" w:customStyle="1" w:styleId="85">
    <w:name w:val="注"/>
    <w:basedOn w:val="1"/>
    <w:qFormat/>
    <w:uiPriority w:val="99"/>
    <w:pPr>
      <w:ind w:left="788" w:leftChars="200" w:hanging="368" w:hangingChars="175"/>
    </w:pPr>
    <w:rPr>
      <w:szCs w:val="21"/>
    </w:rPr>
  </w:style>
  <w:style w:type="paragraph" w:customStyle="1" w:styleId="86">
    <w:name w:val="g_revise_zw"/>
    <w:basedOn w:val="1"/>
    <w:qFormat/>
    <w:uiPriority w:val="99"/>
    <w:pPr>
      <w:widowControl/>
      <w:spacing w:before="100" w:beforeAutospacing="1" w:line="360" w:lineRule="auto"/>
      <w:jc w:val="left"/>
    </w:pPr>
    <w:rPr>
      <w:rFonts w:ascii="?_GB2312" w:hAnsi="?_GB2312" w:cs="?_GB2312"/>
      <w:kern w:val="0"/>
      <w:sz w:val="20"/>
      <w:szCs w:val="20"/>
    </w:rPr>
  </w:style>
  <w:style w:type="paragraph" w:customStyle="1" w:styleId="87">
    <w:name w:val="Char1 Char Char Char"/>
    <w:basedOn w:val="1"/>
    <w:qFormat/>
    <w:uiPriority w:val="99"/>
    <w:pPr>
      <w:widowControl/>
      <w:spacing w:after="160" w:line="240" w:lineRule="exact"/>
      <w:ind w:firstLine="200" w:firstLineChars="200"/>
      <w:jc w:val="left"/>
    </w:pPr>
    <w:rPr>
      <w:szCs w:val="21"/>
    </w:rPr>
  </w:style>
  <w:style w:type="paragraph" w:customStyle="1" w:styleId="88">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89">
    <w:name w:val="标准段落 Char"/>
    <w:basedOn w:val="1"/>
    <w:qFormat/>
    <w:uiPriority w:val="99"/>
    <w:pPr>
      <w:adjustRightInd w:val="0"/>
      <w:snapToGrid w:val="0"/>
      <w:spacing w:line="300" w:lineRule="auto"/>
      <w:ind w:firstLine="527"/>
      <w:textAlignment w:val="baseline"/>
    </w:pPr>
    <w:rPr>
      <w:kern w:val="0"/>
      <w:sz w:val="24"/>
    </w:rPr>
  </w:style>
  <w:style w:type="paragraph" w:customStyle="1" w:styleId="90">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91">
    <w:name w:val="xl25"/>
    <w:basedOn w:val="1"/>
    <w:qFormat/>
    <w:uiPriority w:val="99"/>
    <w:pPr>
      <w:widowControl/>
      <w:spacing w:before="100" w:beforeAutospacing="1" w:after="100" w:afterAutospacing="1"/>
      <w:jc w:val="center"/>
    </w:pPr>
    <w:rPr>
      <w:rFonts w:ascii="宋体" w:hAnsi="宋体" w:cs="宋体"/>
      <w:kern w:val="0"/>
      <w:szCs w:val="21"/>
    </w:rPr>
  </w:style>
  <w:style w:type="paragraph" w:customStyle="1" w:styleId="92">
    <w:name w:val="条文说明"/>
    <w:basedOn w:val="1"/>
    <w:qFormat/>
    <w:uiPriority w:val="99"/>
    <w:pPr>
      <w:spacing w:line="360" w:lineRule="auto"/>
      <w:ind w:firstLine="480" w:firstLineChars="200"/>
    </w:pPr>
    <w:rPr>
      <w:rFonts w:eastAsia="仿宋_GB2312"/>
      <w:sz w:val="24"/>
    </w:rPr>
  </w:style>
  <w:style w:type="paragraph" w:customStyle="1" w:styleId="93">
    <w:name w:val="Table Paragraph"/>
    <w:basedOn w:val="1"/>
    <w:qFormat/>
    <w:uiPriority w:val="1"/>
  </w:style>
  <w:style w:type="character" w:customStyle="1" w:styleId="94">
    <w:name w:val="访问过的超链接1"/>
    <w:qFormat/>
    <w:uiPriority w:val="99"/>
    <w:rPr>
      <w:color w:val="800080"/>
      <w:u w:val="single"/>
    </w:rPr>
  </w:style>
  <w:style w:type="character" w:customStyle="1" w:styleId="95">
    <w:name w:val="apple-style-span"/>
    <w:qFormat/>
    <w:uiPriority w:val="99"/>
  </w:style>
  <w:style w:type="character" w:customStyle="1" w:styleId="96">
    <w:name w:val="批注框文本 字符"/>
    <w:link w:val="29"/>
    <w:qFormat/>
    <w:uiPriority w:val="99"/>
    <w:rPr>
      <w:kern w:val="2"/>
      <w:sz w:val="18"/>
      <w:szCs w:val="18"/>
    </w:rPr>
  </w:style>
  <w:style w:type="character" w:customStyle="1" w:styleId="97">
    <w:name w:val="正文文本缩进 字符"/>
    <w:link w:val="20"/>
    <w:qFormat/>
    <w:uiPriority w:val="99"/>
    <w:rPr>
      <w:sz w:val="21"/>
      <w:szCs w:val="21"/>
    </w:rPr>
  </w:style>
  <w:style w:type="character" w:customStyle="1" w:styleId="98">
    <w:name w:val="日期 Char1"/>
    <w:qFormat/>
    <w:uiPriority w:val="99"/>
    <w:rPr>
      <w:rFonts w:ascii="Calibri" w:hAnsi="Calibri" w:cs="Calibri"/>
      <w:kern w:val="2"/>
      <w:sz w:val="21"/>
      <w:szCs w:val="21"/>
    </w:rPr>
  </w:style>
  <w:style w:type="character" w:customStyle="1" w:styleId="99">
    <w:name w:val="段 Char"/>
    <w:link w:val="57"/>
    <w:qFormat/>
    <w:locked/>
    <w:uiPriority w:val="99"/>
    <w:rPr>
      <w:rFonts w:ascii="宋体"/>
      <w:sz w:val="21"/>
      <w:lang w:val="en-US" w:eastAsia="zh-CN" w:bidi="ar-SA"/>
    </w:rPr>
  </w:style>
  <w:style w:type="character" w:customStyle="1" w:styleId="100">
    <w:name w:val="Char Char30"/>
    <w:qFormat/>
    <w:uiPriority w:val="99"/>
    <w:rPr>
      <w:rFonts w:ascii="黑体" w:hAnsi="Times New Roman" w:eastAsia="黑体"/>
      <w:kern w:val="0"/>
      <w:sz w:val="24"/>
    </w:rPr>
  </w:style>
  <w:style w:type="character" w:customStyle="1" w:styleId="101">
    <w:name w:val="脚注文本 字符"/>
    <w:link w:val="36"/>
    <w:qFormat/>
    <w:uiPriority w:val="99"/>
    <w:rPr>
      <w:rFonts w:ascii="Calibri" w:hAnsi="Calibri"/>
      <w:kern w:val="2"/>
      <w:sz w:val="18"/>
      <w:szCs w:val="18"/>
    </w:rPr>
  </w:style>
  <w:style w:type="character" w:customStyle="1" w:styleId="102">
    <w:name w:val="文档结构图 Char1"/>
    <w:qFormat/>
    <w:uiPriority w:val="99"/>
    <w:rPr>
      <w:rFonts w:ascii="宋体" w:hAnsi="Calibri" w:cs="Calibri"/>
      <w:kern w:val="2"/>
      <w:sz w:val="18"/>
      <w:szCs w:val="18"/>
    </w:rPr>
  </w:style>
  <w:style w:type="character" w:customStyle="1" w:styleId="103">
    <w:name w:val="正文缩进 字符"/>
    <w:link w:val="17"/>
    <w:qFormat/>
    <w:locked/>
    <w:uiPriority w:val="99"/>
    <w:rPr>
      <w:sz w:val="21"/>
      <w:szCs w:val="21"/>
    </w:rPr>
  </w:style>
  <w:style w:type="character" w:customStyle="1" w:styleId="104">
    <w:name w:val="正文文本 2 字符"/>
    <w:link w:val="42"/>
    <w:qFormat/>
    <w:uiPriority w:val="99"/>
    <w:rPr>
      <w:sz w:val="21"/>
      <w:szCs w:val="21"/>
    </w:rPr>
  </w:style>
  <w:style w:type="character" w:customStyle="1" w:styleId="105">
    <w:name w:val="标题 8 字符"/>
    <w:link w:val="9"/>
    <w:qFormat/>
    <w:uiPriority w:val="99"/>
    <w:rPr>
      <w:rFonts w:ascii="Arial" w:hAnsi="Arial" w:eastAsia="黑体"/>
      <w:sz w:val="24"/>
      <w:szCs w:val="24"/>
    </w:rPr>
  </w:style>
  <w:style w:type="character" w:customStyle="1" w:styleId="106">
    <w:name w:val="批注文字 字符"/>
    <w:link w:val="13"/>
    <w:qFormat/>
    <w:uiPriority w:val="99"/>
    <w:rPr>
      <w:kern w:val="2"/>
      <w:sz w:val="21"/>
      <w:szCs w:val="24"/>
    </w:rPr>
  </w:style>
  <w:style w:type="character" w:customStyle="1" w:styleId="107">
    <w:name w:val="页脚 字符"/>
    <w:link w:val="30"/>
    <w:qFormat/>
    <w:uiPriority w:val="99"/>
    <w:rPr>
      <w:kern w:val="2"/>
      <w:sz w:val="18"/>
      <w:szCs w:val="18"/>
    </w:rPr>
  </w:style>
  <w:style w:type="character" w:customStyle="1" w:styleId="108">
    <w:name w:val="标题 2 字符"/>
    <w:link w:val="3"/>
    <w:qFormat/>
    <w:uiPriority w:val="99"/>
    <w:rPr>
      <w:rFonts w:ascii="Arial" w:hAnsi="宋体" w:eastAsia="黑体"/>
      <w:b/>
      <w:bCs/>
      <w:color w:val="000000"/>
      <w:sz w:val="24"/>
      <w:szCs w:val="24"/>
    </w:rPr>
  </w:style>
  <w:style w:type="character" w:customStyle="1" w:styleId="109">
    <w:name w:val="表头 Char"/>
    <w:link w:val="58"/>
    <w:qFormat/>
    <w:locked/>
    <w:uiPriority w:val="99"/>
    <w:rPr>
      <w:b/>
      <w:bCs/>
      <w:kern w:val="2"/>
      <w:sz w:val="21"/>
      <w:szCs w:val="21"/>
    </w:rPr>
  </w:style>
  <w:style w:type="character" w:customStyle="1" w:styleId="110">
    <w:name w:val="hps"/>
    <w:qFormat/>
    <w:uiPriority w:val="99"/>
  </w:style>
  <w:style w:type="character" w:customStyle="1" w:styleId="111">
    <w:name w:val="Char Char27"/>
    <w:qFormat/>
    <w:uiPriority w:val="99"/>
    <w:rPr>
      <w:rFonts w:ascii="Times New Roman" w:hAnsi="Times New Roman" w:eastAsia="宋体"/>
      <w:b/>
      <w:kern w:val="0"/>
      <w:sz w:val="28"/>
    </w:rPr>
  </w:style>
  <w:style w:type="character" w:customStyle="1" w:styleId="112">
    <w:name w:val="样式 宋体 小四 加粗"/>
    <w:qFormat/>
    <w:uiPriority w:val="99"/>
    <w:rPr>
      <w:rFonts w:ascii="宋体" w:eastAsia="宋体"/>
      <w:b/>
      <w:sz w:val="24"/>
    </w:rPr>
  </w:style>
  <w:style w:type="character" w:customStyle="1" w:styleId="113">
    <w:name w:val="Char Char24"/>
    <w:qFormat/>
    <w:uiPriority w:val="99"/>
    <w:rPr>
      <w:rFonts w:ascii="宋体" w:hAnsi="宋体" w:eastAsia="宋体"/>
      <w:kern w:val="0"/>
      <w:sz w:val="24"/>
    </w:rPr>
  </w:style>
  <w:style w:type="character" w:customStyle="1" w:styleId="114">
    <w:name w:val="正文文本 字符"/>
    <w:link w:val="16"/>
    <w:qFormat/>
    <w:uiPriority w:val="0"/>
    <w:rPr>
      <w:rFonts w:eastAsia="方正小标宋简体"/>
      <w:b/>
      <w:bCs/>
      <w:kern w:val="2"/>
      <w:sz w:val="44"/>
    </w:rPr>
  </w:style>
  <w:style w:type="character" w:customStyle="1" w:styleId="115">
    <w:name w:val="news_show041"/>
    <w:qFormat/>
    <w:uiPriority w:val="99"/>
  </w:style>
  <w:style w:type="character" w:customStyle="1" w:styleId="116">
    <w:name w:val="正文文本缩进 3 字符"/>
    <w:link w:val="39"/>
    <w:qFormat/>
    <w:uiPriority w:val="99"/>
    <w:rPr>
      <w:rFonts w:ascii="宋体"/>
      <w:kern w:val="2"/>
      <w:sz w:val="21"/>
      <w:szCs w:val="21"/>
    </w:rPr>
  </w:style>
  <w:style w:type="character" w:customStyle="1" w:styleId="117">
    <w:name w:val="条文 Char"/>
    <w:link w:val="59"/>
    <w:qFormat/>
    <w:uiPriority w:val="0"/>
    <w:rPr>
      <w:kern w:val="2"/>
      <w:sz w:val="24"/>
      <w:szCs w:val="24"/>
    </w:rPr>
  </w:style>
  <w:style w:type="character" w:customStyle="1" w:styleId="118">
    <w:name w:val="Char Char28"/>
    <w:qFormat/>
    <w:uiPriority w:val="99"/>
    <w:rPr>
      <w:rFonts w:ascii="宋体" w:hAnsi="宋体" w:eastAsia="宋体"/>
      <w:kern w:val="0"/>
      <w:sz w:val="24"/>
    </w:rPr>
  </w:style>
  <w:style w:type="character" w:customStyle="1" w:styleId="119">
    <w:name w:val="by1"/>
    <w:qFormat/>
    <w:uiPriority w:val="99"/>
  </w:style>
  <w:style w:type="character" w:customStyle="1" w:styleId="120">
    <w:name w:val="标题 9 字符"/>
    <w:link w:val="10"/>
    <w:qFormat/>
    <w:uiPriority w:val="99"/>
    <w:rPr>
      <w:rFonts w:ascii="Arial" w:hAnsi="Arial" w:eastAsia="黑体"/>
      <w:sz w:val="21"/>
      <w:szCs w:val="21"/>
    </w:rPr>
  </w:style>
  <w:style w:type="character" w:customStyle="1" w:styleId="121">
    <w:name w:val="标题 1 字符"/>
    <w:link w:val="2"/>
    <w:qFormat/>
    <w:uiPriority w:val="99"/>
    <w:rPr>
      <w:rFonts w:ascii="黑体" w:eastAsia="黑体"/>
      <w:sz w:val="24"/>
      <w:szCs w:val="24"/>
    </w:rPr>
  </w:style>
  <w:style w:type="character" w:customStyle="1" w:styleId="122">
    <w:name w:val="章 Char"/>
    <w:link w:val="60"/>
    <w:qFormat/>
    <w:locked/>
    <w:uiPriority w:val="99"/>
    <w:rPr>
      <w:b/>
      <w:bCs/>
      <w:kern w:val="2"/>
      <w:sz w:val="28"/>
      <w:szCs w:val="28"/>
    </w:rPr>
  </w:style>
  <w:style w:type="character" w:customStyle="1" w:styleId="123">
    <w:name w:val="分条 Char"/>
    <w:link w:val="61"/>
    <w:qFormat/>
    <w:locked/>
    <w:uiPriority w:val="99"/>
    <w:rPr>
      <w:kern w:val="2"/>
      <w:sz w:val="24"/>
      <w:szCs w:val="24"/>
    </w:rPr>
  </w:style>
  <w:style w:type="character" w:customStyle="1" w:styleId="124">
    <w:name w:val="Char Char25"/>
    <w:qFormat/>
    <w:uiPriority w:val="99"/>
    <w:rPr>
      <w:rFonts w:ascii="Arial" w:hAnsi="宋体" w:eastAsia="黑体"/>
      <w:b/>
      <w:color w:val="000000"/>
      <w:kern w:val="0"/>
      <w:sz w:val="24"/>
    </w:rPr>
  </w:style>
  <w:style w:type="character" w:customStyle="1" w:styleId="125">
    <w:name w:val="标题 6 字符"/>
    <w:link w:val="7"/>
    <w:qFormat/>
    <w:uiPriority w:val="99"/>
    <w:rPr>
      <w:rFonts w:ascii="Arial" w:hAnsi="Arial" w:eastAsia="黑体"/>
      <w:b/>
      <w:bCs/>
      <w:sz w:val="24"/>
      <w:szCs w:val="24"/>
    </w:rPr>
  </w:style>
  <w:style w:type="character" w:customStyle="1" w:styleId="126">
    <w:name w:val="HTML 预设格式 字符"/>
    <w:link w:val="45"/>
    <w:qFormat/>
    <w:uiPriority w:val="99"/>
    <w:rPr>
      <w:rFonts w:ascii="Arial" w:hAnsi="Arial"/>
      <w:sz w:val="24"/>
      <w:szCs w:val="24"/>
    </w:rPr>
  </w:style>
  <w:style w:type="character" w:customStyle="1" w:styleId="127">
    <w:name w:val="标题 字符"/>
    <w:link w:val="48"/>
    <w:qFormat/>
    <w:uiPriority w:val="99"/>
    <w:rPr>
      <w:rFonts w:ascii="Cambria" w:hAnsi="Cambria"/>
      <w:b/>
      <w:bCs/>
      <w:sz w:val="32"/>
      <w:szCs w:val="32"/>
    </w:rPr>
  </w:style>
  <w:style w:type="character" w:customStyle="1" w:styleId="128">
    <w:name w:val="正文文本缩进 2 字符"/>
    <w:link w:val="28"/>
    <w:qFormat/>
    <w:uiPriority w:val="99"/>
    <w:rPr>
      <w:rFonts w:ascii="宋体"/>
      <w:sz w:val="24"/>
      <w:szCs w:val="24"/>
    </w:rPr>
  </w:style>
  <w:style w:type="character" w:customStyle="1" w:styleId="129">
    <w:name w:val="Char Char29"/>
    <w:qFormat/>
    <w:uiPriority w:val="99"/>
    <w:rPr>
      <w:rFonts w:ascii="Arial" w:hAnsi="宋体" w:eastAsia="黑体"/>
      <w:b/>
      <w:color w:val="000000"/>
      <w:kern w:val="0"/>
      <w:sz w:val="24"/>
    </w:rPr>
  </w:style>
  <w:style w:type="character" w:customStyle="1" w:styleId="130">
    <w:name w:val="纯文本 字符"/>
    <w:link w:val="25"/>
    <w:qFormat/>
    <w:uiPriority w:val="99"/>
    <w:rPr>
      <w:rFonts w:ascii="宋体" w:hAnsi="Courier New"/>
      <w:sz w:val="21"/>
      <w:szCs w:val="21"/>
    </w:rPr>
  </w:style>
  <w:style w:type="character" w:customStyle="1" w:styleId="131">
    <w:name w:val="正文文本首行缩进 2 字符"/>
    <w:basedOn w:val="97"/>
    <w:link w:val="31"/>
    <w:qFormat/>
    <w:uiPriority w:val="99"/>
    <w:rPr>
      <w:sz w:val="21"/>
      <w:szCs w:val="21"/>
    </w:rPr>
  </w:style>
  <w:style w:type="character" w:customStyle="1" w:styleId="132">
    <w:name w:val="日期 字符"/>
    <w:link w:val="27"/>
    <w:locked/>
    <w:uiPriority w:val="99"/>
    <w:rPr>
      <w:kern w:val="2"/>
      <w:sz w:val="21"/>
      <w:szCs w:val="24"/>
    </w:rPr>
  </w:style>
  <w:style w:type="character" w:customStyle="1" w:styleId="133">
    <w:name w:val="正文文本首行缩进 字符"/>
    <w:link w:val="15"/>
    <w:qFormat/>
    <w:uiPriority w:val="99"/>
    <w:rPr>
      <w:rFonts w:ascii="宋体" w:eastAsia="方正小标宋简体"/>
      <w:b/>
      <w:bCs/>
      <w:color w:val="0000FF"/>
      <w:kern w:val="2"/>
      <w:sz w:val="24"/>
      <w:szCs w:val="24"/>
    </w:rPr>
  </w:style>
  <w:style w:type="character" w:customStyle="1" w:styleId="134">
    <w:name w:val="标题 5 字符"/>
    <w:link w:val="6"/>
    <w:uiPriority w:val="99"/>
    <w:rPr>
      <w:b/>
      <w:bCs/>
      <w:sz w:val="28"/>
      <w:szCs w:val="28"/>
    </w:rPr>
  </w:style>
  <w:style w:type="character" w:customStyle="1" w:styleId="135">
    <w:name w:val="g_zw_bh"/>
    <w:qFormat/>
    <w:uiPriority w:val="99"/>
    <w:rPr>
      <w:rFonts w:ascii="?_GB2312" w:hAnsi="?_GB2312"/>
      <w:b/>
    </w:rPr>
  </w:style>
  <w:style w:type="character" w:customStyle="1" w:styleId="136">
    <w:name w:val="标题 7 字符"/>
    <w:link w:val="8"/>
    <w:qFormat/>
    <w:uiPriority w:val="99"/>
    <w:rPr>
      <w:b/>
      <w:bCs/>
      <w:sz w:val="24"/>
      <w:szCs w:val="24"/>
    </w:rPr>
  </w:style>
  <w:style w:type="character" w:customStyle="1" w:styleId="137">
    <w:name w:val="页眉 字符"/>
    <w:link w:val="32"/>
    <w:qFormat/>
    <w:uiPriority w:val="99"/>
    <w:rPr>
      <w:kern w:val="2"/>
      <w:sz w:val="18"/>
      <w:szCs w:val="18"/>
    </w:rPr>
  </w:style>
  <w:style w:type="character" w:customStyle="1" w:styleId="138">
    <w:name w:val="批注主题 字符"/>
    <w:link w:val="12"/>
    <w:qFormat/>
    <w:uiPriority w:val="99"/>
    <w:rPr>
      <w:b/>
      <w:bCs/>
      <w:kern w:val="2"/>
      <w:sz w:val="21"/>
      <w:szCs w:val="24"/>
    </w:rPr>
  </w:style>
  <w:style w:type="character" w:customStyle="1" w:styleId="139">
    <w:name w:val="正文文本 Char"/>
    <w:uiPriority w:val="99"/>
    <w:rPr>
      <w:rFonts w:ascii="宋体"/>
      <w:color w:val="0000FF"/>
      <w:kern w:val="2"/>
      <w:sz w:val="24"/>
      <w:szCs w:val="24"/>
    </w:rPr>
  </w:style>
  <w:style w:type="character" w:customStyle="1" w:styleId="140">
    <w:name w:val="Char Char18"/>
    <w:uiPriority w:val="99"/>
    <w:rPr>
      <w:rFonts w:ascii="宋体" w:hAnsi="Times New Roman" w:eastAsia="宋体"/>
      <w:kern w:val="0"/>
      <w:sz w:val="18"/>
    </w:rPr>
  </w:style>
  <w:style w:type="character" w:customStyle="1" w:styleId="141">
    <w:name w:val="文档结构图 字符"/>
    <w:link w:val="19"/>
    <w:qFormat/>
    <w:locked/>
    <w:uiPriority w:val="99"/>
    <w:rPr>
      <w:kern w:val="2"/>
      <w:sz w:val="21"/>
      <w:szCs w:val="24"/>
      <w:shd w:val="clear" w:color="auto" w:fill="000080"/>
    </w:rPr>
  </w:style>
  <w:style w:type="character" w:customStyle="1" w:styleId="142">
    <w:name w:val="样式 样式 宋体 小四 加粗 +"/>
    <w:uiPriority w:val="99"/>
  </w:style>
  <w:style w:type="character" w:customStyle="1" w:styleId="143">
    <w:name w:val="Char Char26"/>
    <w:qFormat/>
    <w:uiPriority w:val="99"/>
    <w:rPr>
      <w:rFonts w:ascii="黑体" w:hAnsi="Times New Roman" w:eastAsia="黑体"/>
      <w:kern w:val="0"/>
      <w:sz w:val="24"/>
    </w:rPr>
  </w:style>
  <w:style w:type="character" w:customStyle="1" w:styleId="144">
    <w:name w:val="标题 3 字符"/>
    <w:link w:val="4"/>
    <w:qFormat/>
    <w:uiPriority w:val="99"/>
    <w:rPr>
      <w:rFonts w:ascii="宋体"/>
      <w:b/>
      <w:bCs/>
      <w:kern w:val="2"/>
      <w:sz w:val="24"/>
      <w:szCs w:val="24"/>
    </w:rPr>
  </w:style>
  <w:style w:type="character" w:customStyle="1" w:styleId="145">
    <w:name w:val="Placeholder Text"/>
    <w:basedOn w:val="49"/>
    <w:unhideWhenUsed/>
    <w:qFormat/>
    <w:uiPriority w:val="99"/>
    <w:rPr>
      <w:color w:val="808080"/>
    </w:rPr>
  </w:style>
  <w:style w:type="character" w:customStyle="1" w:styleId="146">
    <w:name w:val="不明显强调1"/>
    <w:basedOn w:val="49"/>
    <w:qFormat/>
    <w:uiPriority w:val="19"/>
    <w:rPr>
      <w:i/>
      <w:iCs/>
      <w:color w:val="3F3F3F"/>
    </w:rPr>
  </w:style>
  <w:style w:type="table" w:customStyle="1" w:styleId="147">
    <w:name w:val="Table Normal"/>
    <w:unhideWhenUsed/>
    <w:qFormat/>
    <w:uiPriority w:val="2"/>
    <w:pPr>
      <w:widowControl w:val="0"/>
    </w:pPr>
    <w:rPr>
      <w:rFonts w:ascii="Calibri" w:hAnsi="Calibri" w:eastAsia="宋体" w:cs="黑体"/>
      <w:sz w:val="22"/>
      <w:szCs w:val="22"/>
      <w:lang w:eastAsia="en-US"/>
    </w:rPr>
    <w:tblPr>
      <w:tblStyle w:val="55"/>
      <w:tblLayout w:type="fixed"/>
      <w:tblCellMar>
        <w:top w:w="0" w:type="dxa"/>
        <w:left w:w="0" w:type="dxa"/>
        <w:bottom w:w="0" w:type="dxa"/>
        <w:right w:w="0" w:type="dxa"/>
      </w:tblCellMar>
    </w:tblPr>
    <w:tcPr>
      <w:textDirection w:val="lrTb"/>
    </w:tcPr>
  </w:style>
  <w:style w:type="table" w:customStyle="1" w:styleId="148">
    <w:name w:val="网格型1"/>
    <w:basedOn w:val="55"/>
    <w:qFormat/>
    <w:uiPriority w:val="59"/>
    <w:pPr/>
    <w:rPr>
      <w:rFonts w:ascii="Calibri" w:hAnsi="Calibri" w:eastAsia="宋体" w:cs="黑体"/>
      <w:kern w:val="2"/>
      <w:sz w:val="21"/>
      <w:szCs w:val="22"/>
    </w:r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customStyle="1" w:styleId="149">
    <w:name w:val="网格型2"/>
    <w:basedOn w:val="55"/>
    <w:qFormat/>
    <w:uiPriority w:val="59"/>
    <w:pPr/>
    <w:rPr>
      <w:rFonts w:ascii="Calibri" w:hAnsi="Calibri" w:eastAsia="宋体" w:cs="黑体"/>
      <w:kern w:val="2"/>
      <w:sz w:val="21"/>
      <w:szCs w:val="22"/>
    </w:r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customStyle="1" w:styleId="150">
    <w:name w:val="网格型3"/>
    <w:basedOn w:val="55"/>
    <w:qFormat/>
    <w:uiPriority w:val="59"/>
    <w:pPr/>
    <w:rPr>
      <w:rFonts w:ascii="Calibri" w:hAnsi="Calibri" w:eastAsia="宋体" w:cs="黑体"/>
      <w:kern w:val="2"/>
      <w:sz w:val="21"/>
      <w:szCs w:val="22"/>
    </w:r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customStyle="1" w:styleId="151">
    <w:name w:val="网格型4"/>
    <w:basedOn w:val="55"/>
    <w:qFormat/>
    <w:uiPriority w:val="59"/>
    <w:pPr/>
    <w:rPr>
      <w:rFonts w:ascii="Calibri" w:hAnsi="Calibri" w:eastAsia="宋体" w:cs="黑体"/>
      <w:kern w:val="2"/>
      <w:sz w:val="21"/>
      <w:szCs w:val="22"/>
    </w:r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customStyle="1" w:styleId="152">
    <w:name w:val="网格型5"/>
    <w:basedOn w:val="55"/>
    <w:qFormat/>
    <w:uiPriority w:val="59"/>
    <w:pPr/>
    <w:rPr>
      <w:rFonts w:ascii="Calibri" w:hAnsi="Calibri" w:eastAsia="宋体" w:cs="黑体"/>
      <w:kern w:val="2"/>
      <w:sz w:val="21"/>
      <w:szCs w:val="22"/>
    </w:rPr>
    <w:tblPr>
      <w:tblStyle w:val="5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settings" Target="settings.xml"/><Relationship Id="rId2" Type="http://schemas.openxmlformats.org/officeDocument/2006/relationships/styles" Target="styles.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120</Pages>
  <Words>9830</Words>
  <Characters>56036</Characters>
  <Lines>466</Lines>
  <Paragraphs>131</Paragraphs>
  <TotalTime>0</TotalTime>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2019-12-06T11:56:00Z</dcterms:created>
  <dc:creator>微软用户</dc:creator>
  <cp:lastModifiedBy>lenovo</cp:lastModifiedBy>
  <cp:lastPrinted>2019-12-24T08:08:00Z</cp:lastPrinted>
  <dcterms:modified xsi:type="dcterms:W3CDTF">2020-08-03T09:19:22Z</dcterms:modified>
  <dc:title>DB</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ies>
</file>